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45406" w14:textId="77777777" w:rsidR="0065074E" w:rsidRDefault="000244B1">
      <w:pPr>
        <w:spacing w:after="200"/>
        <w:jc w:val="center"/>
      </w:pPr>
      <w:r>
        <w:rPr>
          <w:noProof/>
        </w:rPr>
        <w:drawing>
          <wp:inline distT="0" distB="0" distL="0" distR="0" wp14:anchorId="3B41D42C" wp14:editId="6775639D">
            <wp:extent cx="1714500" cy="1524000"/>
            <wp:effectExtent l="0" t="0" r="0" b="0"/>
            <wp:docPr id="1" name="Logo" descr="SEND Empowerment Advice and Support logo" title="SEND Empower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1714500" cy="1524000"/>
                    </a:xfrm>
                    <a:prstGeom prst="rect">
                      <a:avLst/>
                    </a:prstGeom>
                  </pic:spPr>
                </pic:pic>
              </a:graphicData>
            </a:graphic>
          </wp:inline>
        </w:drawing>
      </w:r>
    </w:p>
    <w:p w14:paraId="4A182D9D" w14:textId="77777777" w:rsidR="0065074E" w:rsidRDefault="000244B1">
      <w:pPr>
        <w:spacing w:after="80"/>
        <w:jc w:val="center"/>
      </w:pPr>
      <w:r>
        <w:rPr>
          <w:color w:val="841450"/>
          <w:sz w:val="40"/>
          <w:szCs w:val="40"/>
        </w:rPr>
        <w:t>A Parent’s Guide to</w:t>
      </w:r>
    </w:p>
    <w:p w14:paraId="1C9ACC29" w14:textId="77777777" w:rsidR="0065074E" w:rsidRDefault="000244B1">
      <w:pPr>
        <w:spacing w:after="40"/>
        <w:jc w:val="center"/>
      </w:pPr>
      <w:r>
        <w:rPr>
          <w:b/>
          <w:bCs/>
          <w:color w:val="841450"/>
          <w:sz w:val="52"/>
          <w:szCs w:val="52"/>
        </w:rPr>
        <w:t>SEND and School Attendance</w:t>
      </w:r>
    </w:p>
    <w:p w14:paraId="7996F87D" w14:textId="77777777" w:rsidR="0065074E" w:rsidRDefault="000244B1">
      <w:pPr>
        <w:spacing w:after="200"/>
        <w:jc w:val="center"/>
      </w:pPr>
      <w:r>
        <w:rPr>
          <w:i/>
          <w:iCs/>
          <w:color w:val="555555"/>
          <w:sz w:val="24"/>
          <w:szCs w:val="24"/>
        </w:rPr>
        <w:t>What the DfE guidance says about attendance for children with</w:t>
      </w:r>
    </w:p>
    <w:p w14:paraId="2FC7CB12" w14:textId="77777777" w:rsidR="0065074E" w:rsidRDefault="000244B1">
      <w:pPr>
        <w:pBdr>
          <w:top w:val="single" w:sz="6" w:space="8" w:color="841450"/>
          <w:bottom w:val="single" w:sz="6" w:space="8" w:color="841450"/>
        </w:pBdr>
        <w:spacing w:after="80"/>
        <w:jc w:val="center"/>
      </w:pPr>
      <w:r>
        <w:rPr>
          <w:i/>
          <w:iCs/>
          <w:color w:val="555555"/>
          <w:sz w:val="24"/>
          <w:szCs w:val="24"/>
        </w:rPr>
        <w:t>special educational needs, disabilities and health conditions</w:t>
      </w:r>
    </w:p>
    <w:p w14:paraId="1EC64E87" w14:textId="77777777" w:rsidR="0065074E" w:rsidRDefault="0065074E">
      <w:pPr>
        <w:spacing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65074E" w14:paraId="37FFF3E0" w14:textId="77777777">
        <w:tc>
          <w:tcPr>
            <w:tcW w:w="9360" w:type="dxa"/>
            <w:tcBorders>
              <w:top w:val="single" w:sz="1" w:space="0" w:color="C46B96"/>
              <w:left w:val="single" w:sz="12" w:space="0" w:color="841450"/>
              <w:bottom w:val="single" w:sz="1" w:space="0" w:color="C46B96"/>
              <w:right w:val="single" w:sz="1" w:space="0" w:color="C46B96"/>
            </w:tcBorders>
            <w:shd w:val="clear" w:color="auto" w:fill="F2E0EA"/>
            <w:tcMar>
              <w:top w:w="120" w:type="dxa"/>
              <w:left w:w="200" w:type="dxa"/>
              <w:bottom w:w="120" w:type="dxa"/>
              <w:right w:w="200" w:type="dxa"/>
            </w:tcMar>
          </w:tcPr>
          <w:p w14:paraId="38BF547B" w14:textId="77777777" w:rsidR="0065074E" w:rsidRDefault="000244B1">
            <w:pPr>
              <w:spacing w:after="80"/>
            </w:pPr>
            <w:r>
              <w:rPr>
                <w:b/>
                <w:bCs/>
                <w:color w:val="841450"/>
              </w:rPr>
              <w:t>Important: Please Read This First</w:t>
            </w:r>
          </w:p>
          <w:p w14:paraId="1F18B872" w14:textId="77777777" w:rsidR="0065074E" w:rsidRDefault="000244B1">
            <w:pPr>
              <w:spacing w:after="80"/>
            </w:pPr>
            <w:r>
              <w:rPr>
                <w:color w:val="333333"/>
              </w:rPr>
              <w:t>This guide is based on the Department for Education’s statutory guidance “Working Together to Improve School Attendance” (August 2024). It should be read alongside that document.</w:t>
            </w:r>
          </w:p>
          <w:p w14:paraId="1268A504" w14:textId="77777777" w:rsidR="0065074E" w:rsidRDefault="000244B1">
            <w:pPr>
              <w:spacing w:after="80"/>
            </w:pPr>
            <w:r>
              <w:rPr>
                <w:color w:val="333333"/>
              </w:rPr>
              <w:t>Every school has its own attendance policy. Please check your child’s school website for their specific policy, as individual school rules and procedures may vary.</w:t>
            </w:r>
          </w:p>
          <w:p w14:paraId="538F3563" w14:textId="77777777" w:rsidR="0065074E" w:rsidRDefault="000244B1">
            <w:r>
              <w:rPr>
                <w:i/>
                <w:iCs/>
                <w:color w:val="555555"/>
              </w:rPr>
              <w:t>This guide does not constitute legal advice. If you are facing legal action regarding attendance, you should seek independent legal advice.</w:t>
            </w:r>
          </w:p>
        </w:tc>
      </w:tr>
    </w:tbl>
    <w:p w14:paraId="713BBB34" w14:textId="77777777" w:rsidR="0065074E" w:rsidRDefault="0065074E">
      <w:pPr>
        <w:spacing w:after="200"/>
      </w:pPr>
    </w:p>
    <w:p w14:paraId="1B89AA23" w14:textId="77777777" w:rsidR="0065074E" w:rsidRDefault="000244B1">
      <w:pPr>
        <w:spacing w:before="360" w:after="200"/>
      </w:pPr>
      <w:r>
        <w:rPr>
          <w:b/>
          <w:bCs/>
          <w:color w:val="841450"/>
          <w:sz w:val="28"/>
          <w:szCs w:val="28"/>
        </w:rPr>
        <w:t>1. The Starting Point: Equal Rights, Additional Support</w:t>
      </w:r>
    </w:p>
    <w:p w14:paraId="0B50B817" w14:textId="77777777" w:rsidR="0065074E" w:rsidRDefault="000244B1">
      <w:pPr>
        <w:spacing w:after="160"/>
      </w:pPr>
      <w:r>
        <w:rPr>
          <w:color w:val="333333"/>
        </w:rPr>
        <w:t>The DfE guidance is clear on one fundamental point: every child with SEND or a health condition has the same right to a full-time education as any other child. The attendance ambition should be the same for all pupils.</w:t>
      </w:r>
    </w:p>
    <w:p w14:paraId="32B306C0" w14:textId="77777777" w:rsidR="0065074E" w:rsidRDefault="000244B1">
      <w:pPr>
        <w:spacing w:after="160"/>
      </w:pPr>
      <w:r>
        <w:rPr>
          <w:color w:val="333333"/>
        </w:rPr>
        <w:t>However, the guidance also recognises that children with SEND or health conditions may face more complex barriers to attendance, and that schools must provide additional support and make reasonable adjustments to help these children attend.</w:t>
      </w:r>
    </w:p>
    <w:p w14:paraId="1916B6AA" w14:textId="77777777" w:rsidR="0065074E" w:rsidRDefault="000244B1">
      <w:pPr>
        <w:spacing w:after="160"/>
      </w:pPr>
      <w:r>
        <w:rPr>
          <w:color w:val="333333"/>
        </w:rPr>
        <w:t xml:space="preserve">This is an important balance. Your child’s school should </w:t>
      </w:r>
      <w:r>
        <w:rPr>
          <w:b/>
          <w:bCs/>
          <w:color w:val="333333"/>
        </w:rPr>
        <w:t>never</w:t>
      </w:r>
      <w:r>
        <w:rPr>
          <w:color w:val="333333"/>
        </w:rPr>
        <w:t xml:space="preserve"> lower its expectations for your child’s attendance, but it </w:t>
      </w:r>
      <w:r>
        <w:rPr>
          <w:b/>
          <w:bCs/>
          <w:color w:val="333333"/>
        </w:rPr>
        <w:t>must</w:t>
      </w:r>
      <w:r>
        <w:rPr>
          <w:color w:val="333333"/>
        </w:rPr>
        <w:t xml:space="preserve"> adapt its approach and provide the support your child needs to be able to attend.</w:t>
      </w:r>
    </w:p>
    <w:p w14:paraId="176A531B" w14:textId="77777777" w:rsidR="0065074E" w:rsidRDefault="0065074E">
      <w:pPr>
        <w:spacing w:after="100"/>
      </w:pPr>
    </w:p>
    <w:p w14:paraId="7CD151C6" w14:textId="77777777" w:rsidR="0097362A" w:rsidRDefault="0097362A">
      <w:pPr>
        <w:spacing w:before="360" w:after="200"/>
        <w:rPr>
          <w:b/>
          <w:bCs/>
          <w:color w:val="841450"/>
          <w:sz w:val="28"/>
          <w:szCs w:val="28"/>
        </w:rPr>
      </w:pPr>
    </w:p>
    <w:p w14:paraId="6502E0E3" w14:textId="6E52E2BD" w:rsidR="0065074E" w:rsidRDefault="000244B1">
      <w:pPr>
        <w:spacing w:before="360" w:after="200"/>
      </w:pPr>
      <w:r>
        <w:rPr>
          <w:b/>
          <w:bCs/>
          <w:color w:val="841450"/>
          <w:sz w:val="28"/>
          <w:szCs w:val="28"/>
        </w:rPr>
        <w:lastRenderedPageBreak/>
        <w:t>2. What Schools Must Do for Children with SEND</w:t>
      </w:r>
    </w:p>
    <w:p w14:paraId="3A7A5981" w14:textId="77777777" w:rsidR="0065074E" w:rsidRDefault="000244B1">
      <w:pPr>
        <w:spacing w:after="160"/>
      </w:pPr>
      <w:r>
        <w:rPr>
          <w:color w:val="333333"/>
        </w:rPr>
        <w:t>The DfE guidance sets out specific expectations for how schools should support attendance for children with SEND and health conditions. These are not optional suggestions. Schools must have regard to this statutory guidance.</w:t>
      </w:r>
    </w:p>
    <w:p w14:paraId="02C87911" w14:textId="77777777" w:rsidR="0065074E" w:rsidRDefault="000244B1">
      <w:pPr>
        <w:spacing w:before="240" w:after="120"/>
      </w:pPr>
      <w:r>
        <w:rPr>
          <w:b/>
          <w:bCs/>
          <w:color w:val="841450"/>
          <w:sz w:val="24"/>
          <w:szCs w:val="24"/>
        </w:rPr>
        <w:t>Understanding Your Child’s Needs</w:t>
      </w:r>
    </w:p>
    <w:p w14:paraId="5FD9346D" w14:textId="77777777" w:rsidR="0065074E" w:rsidRDefault="000244B1">
      <w:pPr>
        <w:pStyle w:val="ListParagraph"/>
        <w:numPr>
          <w:ilvl w:val="0"/>
          <w:numId w:val="2"/>
        </w:numPr>
        <w:spacing w:after="100"/>
      </w:pPr>
      <w:r>
        <w:rPr>
          <w:color w:val="333333"/>
        </w:rPr>
        <w:t>There must be no “one size fits all” approach. Schools must understand the individual needs of your child and your family.</w:t>
      </w:r>
    </w:p>
    <w:p w14:paraId="2ABD1CBB" w14:textId="77777777" w:rsidR="0065074E" w:rsidRDefault="000244B1">
      <w:pPr>
        <w:pStyle w:val="ListParagraph"/>
        <w:numPr>
          <w:ilvl w:val="0"/>
          <w:numId w:val="2"/>
        </w:numPr>
        <w:spacing w:after="100"/>
      </w:pPr>
      <w:r>
        <w:rPr>
          <w:color w:val="333333"/>
        </w:rPr>
        <w:t>Schools must work in partnership with you and your child to put in-school support in place.</w:t>
      </w:r>
    </w:p>
    <w:p w14:paraId="34040854" w14:textId="77777777" w:rsidR="0065074E" w:rsidRDefault="000244B1">
      <w:pPr>
        <w:pStyle w:val="ListParagraph"/>
        <w:numPr>
          <w:ilvl w:val="0"/>
          <w:numId w:val="2"/>
        </w:numPr>
        <w:spacing w:after="100"/>
      </w:pPr>
      <w:r>
        <w:rPr>
          <w:color w:val="333333"/>
        </w:rPr>
        <w:t>Schools must work with the local authority and other agencies where external support is needed.</w:t>
      </w:r>
    </w:p>
    <w:p w14:paraId="19C0428E" w14:textId="77777777" w:rsidR="0065074E" w:rsidRDefault="000244B1">
      <w:pPr>
        <w:pStyle w:val="ListParagraph"/>
        <w:numPr>
          <w:ilvl w:val="0"/>
          <w:numId w:val="2"/>
        </w:numPr>
        <w:spacing w:after="100"/>
      </w:pPr>
      <w:r>
        <w:rPr>
          <w:color w:val="333333"/>
        </w:rPr>
        <w:t>Where your child has a disability, schools must consider reasonable adjustments under the Equality Act 2010. These should be agreed with you and reviewed regularly.</w:t>
      </w:r>
    </w:p>
    <w:p w14:paraId="7FC5F25C" w14:textId="77777777" w:rsidR="0065074E" w:rsidRDefault="000244B1">
      <w:pPr>
        <w:spacing w:before="240" w:after="120"/>
      </w:pPr>
      <w:r>
        <w:rPr>
          <w:b/>
          <w:bCs/>
          <w:color w:val="841450"/>
          <w:sz w:val="24"/>
          <w:szCs w:val="24"/>
        </w:rPr>
        <w:t>Removing In-School Barriers</w:t>
      </w:r>
    </w:p>
    <w:p w14:paraId="67EFBD23" w14:textId="77777777" w:rsidR="0065074E" w:rsidRDefault="000244B1">
      <w:pPr>
        <w:spacing w:after="160"/>
      </w:pPr>
      <w:r>
        <w:rPr>
          <w:color w:val="333333"/>
        </w:rPr>
        <w:t>The guidance expects schools to look at practical barriers within the school that may be making attendance difficult for your child. This could include:</w:t>
      </w:r>
    </w:p>
    <w:p w14:paraId="7337E285" w14:textId="77777777" w:rsidR="0065074E" w:rsidRDefault="000244B1">
      <w:pPr>
        <w:pStyle w:val="ListParagraph"/>
        <w:numPr>
          <w:ilvl w:val="0"/>
          <w:numId w:val="2"/>
        </w:numPr>
        <w:spacing w:after="100"/>
      </w:pPr>
      <w:r>
        <w:rPr>
          <w:color w:val="333333"/>
        </w:rPr>
        <w:t>Uniform requirements that may cause sensory difficulties.</w:t>
      </w:r>
    </w:p>
    <w:p w14:paraId="41F9FD5B" w14:textId="77777777" w:rsidR="0065074E" w:rsidRDefault="000244B1">
      <w:pPr>
        <w:pStyle w:val="ListParagraph"/>
        <w:numPr>
          <w:ilvl w:val="0"/>
          <w:numId w:val="2"/>
        </w:numPr>
        <w:spacing w:after="100"/>
      </w:pPr>
      <w:r>
        <w:rPr>
          <w:color w:val="333333"/>
        </w:rPr>
        <w:t>Transport arrangements, including where school transport is regularly being missed.</w:t>
      </w:r>
    </w:p>
    <w:p w14:paraId="2E795B69" w14:textId="77777777" w:rsidR="0065074E" w:rsidRDefault="000244B1">
      <w:pPr>
        <w:pStyle w:val="ListParagraph"/>
        <w:numPr>
          <w:ilvl w:val="0"/>
          <w:numId w:val="2"/>
        </w:numPr>
        <w:spacing w:after="100"/>
      </w:pPr>
      <w:r>
        <w:rPr>
          <w:color w:val="333333"/>
        </w:rPr>
        <w:t>Routines, transitions and changes to the school day.</w:t>
      </w:r>
    </w:p>
    <w:p w14:paraId="00B48C56" w14:textId="77777777" w:rsidR="0065074E" w:rsidRDefault="000244B1">
      <w:pPr>
        <w:pStyle w:val="ListParagraph"/>
        <w:numPr>
          <w:ilvl w:val="0"/>
          <w:numId w:val="2"/>
        </w:numPr>
        <w:spacing w:after="100"/>
      </w:pPr>
      <w:r>
        <w:rPr>
          <w:color w:val="333333"/>
        </w:rPr>
        <w:t>Access to in-school support such as a quiet space, key worker or learning support.</w:t>
      </w:r>
    </w:p>
    <w:p w14:paraId="297873C5" w14:textId="77777777" w:rsidR="0065074E" w:rsidRDefault="000244B1">
      <w:pPr>
        <w:pStyle w:val="ListParagraph"/>
        <w:numPr>
          <w:ilvl w:val="0"/>
          <w:numId w:val="2"/>
        </w:numPr>
        <w:spacing w:after="100"/>
      </w:pPr>
      <w:r>
        <w:rPr>
          <w:color w:val="333333"/>
        </w:rPr>
        <w:t>Lunchtime arrangements.</w:t>
      </w:r>
    </w:p>
    <w:p w14:paraId="093A4D51" w14:textId="77777777" w:rsidR="0065074E" w:rsidRDefault="000244B1">
      <w:pPr>
        <w:spacing w:after="160"/>
        <w:rPr>
          <w:color w:val="333333"/>
        </w:rPr>
      </w:pPr>
      <w:r>
        <w:rPr>
          <w:color w:val="333333"/>
        </w:rPr>
        <w:t>These are examples from the guidance. The key point is that schools should be actively looking for and removing barriers, not simply recording absences.</w:t>
      </w:r>
    </w:p>
    <w:p w14:paraId="349F114C" w14:textId="77777777" w:rsidR="002E5563" w:rsidRDefault="002E5563">
      <w:pPr>
        <w:spacing w:after="160"/>
      </w:pPr>
    </w:p>
    <w:p w14:paraId="60D6444C" w14:textId="451817EE" w:rsidR="0065074E" w:rsidRDefault="000244B1" w:rsidP="0097362A">
      <w:r>
        <w:rPr>
          <w:b/>
          <w:bCs/>
          <w:color w:val="841450"/>
          <w:sz w:val="28"/>
          <w:szCs w:val="28"/>
        </w:rPr>
        <w:t>3. Children with Education, Health and Care (EHC) Plans</w:t>
      </w:r>
    </w:p>
    <w:p w14:paraId="1707092B" w14:textId="77777777" w:rsidR="0065074E" w:rsidRDefault="000244B1">
      <w:pPr>
        <w:spacing w:after="160"/>
      </w:pPr>
      <w:r>
        <w:rPr>
          <w:color w:val="333333"/>
        </w:rPr>
        <w:t>If your child has an EHC plan, the DfE guidance places additional specific expectations on schools:</w:t>
      </w:r>
    </w:p>
    <w:p w14:paraId="03F7617C" w14:textId="35246E99" w:rsidR="0065074E" w:rsidRDefault="000244B1">
      <w:pPr>
        <w:pStyle w:val="ListParagraph"/>
        <w:numPr>
          <w:ilvl w:val="0"/>
          <w:numId w:val="2"/>
        </w:numPr>
        <w:spacing w:after="100"/>
      </w:pPr>
      <w:r>
        <w:rPr>
          <w:color w:val="333333"/>
        </w:rPr>
        <w:t xml:space="preserve">The school must ensure the provision set out in </w:t>
      </w:r>
      <w:r w:rsidR="00D71478">
        <w:rPr>
          <w:color w:val="333333"/>
        </w:rPr>
        <w:t xml:space="preserve">Section F of the </w:t>
      </w:r>
      <w:r>
        <w:rPr>
          <w:color w:val="333333"/>
        </w:rPr>
        <w:t>EHC plan is being delivered and accessed by your child.</w:t>
      </w:r>
    </w:p>
    <w:p w14:paraId="446381A0" w14:textId="77777777" w:rsidR="0065074E" w:rsidRDefault="000244B1">
      <w:pPr>
        <w:pStyle w:val="ListParagraph"/>
        <w:numPr>
          <w:ilvl w:val="0"/>
          <w:numId w:val="2"/>
        </w:numPr>
        <w:spacing w:after="100"/>
      </w:pPr>
      <w:r>
        <w:rPr>
          <w:color w:val="333333"/>
        </w:rPr>
        <w:t>The school must communicate with the local authority where your child’s attendance falls, or where they become aware of barriers to attendance that relate to your child’s needs.</w:t>
      </w:r>
    </w:p>
    <w:p w14:paraId="3870BE14" w14:textId="77777777" w:rsidR="0065074E" w:rsidRDefault="000244B1">
      <w:pPr>
        <w:pStyle w:val="ListParagraph"/>
        <w:numPr>
          <w:ilvl w:val="0"/>
          <w:numId w:val="2"/>
        </w:numPr>
        <w:spacing w:after="100"/>
      </w:pPr>
      <w:r>
        <w:rPr>
          <w:color w:val="333333"/>
        </w:rPr>
        <w:t>The school should agree adjustments to its policies and practices that are consistent with the provision in the EHC plan, working with you as parents.</w:t>
      </w:r>
    </w:p>
    <w:p w14:paraId="16613CAD" w14:textId="485890C8" w:rsidR="0065074E" w:rsidRPr="002E5563" w:rsidRDefault="000244B1" w:rsidP="002E5563">
      <w:pPr>
        <w:pStyle w:val="ListParagraph"/>
        <w:numPr>
          <w:ilvl w:val="0"/>
          <w:numId w:val="2"/>
        </w:numPr>
        <w:spacing w:after="100"/>
      </w:pPr>
      <w:r>
        <w:rPr>
          <w:color w:val="333333"/>
        </w:rPr>
        <w:t>The school must work with the local authority to review and amend the EHC plan where needed.</w:t>
      </w:r>
    </w:p>
    <w:p w14:paraId="7626031F" w14:textId="77777777" w:rsidR="002E5563" w:rsidRDefault="002E5563" w:rsidP="002E5563">
      <w:pPr>
        <w:spacing w:after="100"/>
      </w:pPr>
    </w:p>
    <w:p w14:paraId="2E99F9D7" w14:textId="77777777" w:rsidR="002E5563" w:rsidRDefault="002E5563" w:rsidP="002E5563">
      <w:pPr>
        <w:spacing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65074E" w14:paraId="5C6EEA4C" w14:textId="77777777">
        <w:tc>
          <w:tcPr>
            <w:tcW w:w="9360" w:type="dxa"/>
            <w:tcBorders>
              <w:top w:val="single" w:sz="1" w:space="0" w:color="D4A84B"/>
              <w:left w:val="single" w:sz="12" w:space="0" w:color="C49030"/>
              <w:bottom w:val="single" w:sz="1" w:space="0" w:color="D4A84B"/>
              <w:right w:val="single" w:sz="1" w:space="0" w:color="D4A84B"/>
            </w:tcBorders>
            <w:shd w:val="clear" w:color="auto" w:fill="FFF8E1"/>
            <w:tcMar>
              <w:top w:w="120" w:type="dxa"/>
              <w:left w:w="200" w:type="dxa"/>
              <w:bottom w:w="120" w:type="dxa"/>
              <w:right w:w="200" w:type="dxa"/>
            </w:tcMar>
          </w:tcPr>
          <w:p w14:paraId="2B617BE9" w14:textId="77777777" w:rsidR="0065074E" w:rsidRDefault="000244B1">
            <w:pPr>
              <w:spacing w:after="80"/>
            </w:pPr>
            <w:r>
              <w:rPr>
                <w:b/>
                <w:bCs/>
                <w:color w:val="8B6914"/>
              </w:rPr>
              <w:lastRenderedPageBreak/>
              <w:t>If your child has an EHC plan and attendance is falling</w:t>
            </w:r>
          </w:p>
          <w:p w14:paraId="55DB62EC" w14:textId="77777777" w:rsidR="0065074E" w:rsidRDefault="000244B1">
            <w:r>
              <w:rPr>
                <w:color w:val="333333"/>
              </w:rPr>
              <w:t>Ask yourself: is the provision in the EHC plan actually being delivered? Has the school contacted the local authority? Has an early annual review been requested? If your child’s needs have changed, the EHC plan may need to be reviewed and amended to reflect this.</w:t>
            </w:r>
          </w:p>
        </w:tc>
      </w:tr>
    </w:tbl>
    <w:p w14:paraId="261F5B66" w14:textId="77777777" w:rsidR="0065074E" w:rsidRDefault="0065074E">
      <w:pPr>
        <w:spacing w:after="200"/>
      </w:pPr>
    </w:p>
    <w:p w14:paraId="1C022037" w14:textId="77777777" w:rsidR="0065074E" w:rsidRDefault="000244B1">
      <w:pPr>
        <w:spacing w:before="360" w:after="200"/>
      </w:pPr>
      <w:r>
        <w:rPr>
          <w:b/>
          <w:bCs/>
          <w:color w:val="841450"/>
          <w:sz w:val="28"/>
          <w:szCs w:val="28"/>
        </w:rPr>
        <w:t>4. Long-Term Physical or Mental Health Conditions</w:t>
      </w:r>
    </w:p>
    <w:p w14:paraId="189A8E63" w14:textId="77777777" w:rsidR="0065074E" w:rsidRDefault="000244B1">
      <w:pPr>
        <w:spacing w:after="160"/>
      </w:pPr>
      <w:r>
        <w:rPr>
          <w:color w:val="333333"/>
        </w:rPr>
        <w:t>The DfE guidance sets out what schools should do when a child’s attendance is affected by a physical or mental health condition.</w:t>
      </w:r>
    </w:p>
    <w:p w14:paraId="7C552C7A" w14:textId="77777777" w:rsidR="0065074E" w:rsidRDefault="000244B1">
      <w:pPr>
        <w:spacing w:before="240" w:after="120"/>
      </w:pPr>
      <w:r>
        <w:rPr>
          <w:b/>
          <w:bCs/>
          <w:color w:val="841450"/>
          <w:sz w:val="24"/>
          <w:szCs w:val="24"/>
        </w:rPr>
        <w:t>What Schools Should Do</w:t>
      </w:r>
    </w:p>
    <w:p w14:paraId="6A982D38" w14:textId="77777777" w:rsidR="0065074E" w:rsidRDefault="000244B1">
      <w:pPr>
        <w:pStyle w:val="ListParagraph"/>
        <w:numPr>
          <w:ilvl w:val="0"/>
          <w:numId w:val="2"/>
        </w:numPr>
        <w:spacing w:after="100"/>
      </w:pPr>
      <w:r>
        <w:rPr>
          <w:color w:val="333333"/>
        </w:rPr>
        <w:t>Schools must facilitate relevant pastoral support aimed at improving attendance while supporting the underlying health issue.</w:t>
      </w:r>
    </w:p>
    <w:p w14:paraId="6B0BA292" w14:textId="77777777" w:rsidR="0065074E" w:rsidRDefault="000244B1">
      <w:pPr>
        <w:pStyle w:val="ListParagraph"/>
        <w:numPr>
          <w:ilvl w:val="0"/>
          <w:numId w:val="2"/>
        </w:numPr>
        <w:spacing w:after="100"/>
      </w:pPr>
      <w:r>
        <w:rPr>
          <w:color w:val="333333"/>
        </w:rPr>
        <w:t>Where a pupil has a disability under the Equality Act 2010, schools must consider reasonable adjustments. These should be agreed and regularly reviewed with you and your child.</w:t>
      </w:r>
    </w:p>
    <w:p w14:paraId="3868A417" w14:textId="77777777" w:rsidR="0065074E" w:rsidRDefault="000244B1">
      <w:pPr>
        <w:pStyle w:val="ListParagraph"/>
        <w:numPr>
          <w:ilvl w:val="0"/>
          <w:numId w:val="2"/>
        </w:numPr>
        <w:spacing w:after="100"/>
      </w:pPr>
      <w:r>
        <w:rPr>
          <w:color w:val="333333"/>
        </w:rPr>
        <w:t>A time-limited, phased return to school should be considered where appropriate, for example for children affected by anxious feelings about attending.</w:t>
      </w:r>
    </w:p>
    <w:p w14:paraId="216BD34F" w14:textId="77777777" w:rsidR="0065074E" w:rsidRDefault="000244B1">
      <w:pPr>
        <w:pStyle w:val="ListParagraph"/>
        <w:numPr>
          <w:ilvl w:val="0"/>
          <w:numId w:val="2"/>
        </w:numPr>
        <w:spacing w:after="100"/>
      </w:pPr>
      <w:r>
        <w:rPr>
          <w:color w:val="333333"/>
        </w:rPr>
        <w:t>Schools should make use of school nursing services, mental health support teams, and consider referrals to external partners.</w:t>
      </w:r>
    </w:p>
    <w:p w14:paraId="65DC2478" w14:textId="7C90612B" w:rsidR="00196EFC" w:rsidRDefault="000244B1" w:rsidP="00D71478">
      <w:pPr>
        <w:pStyle w:val="ListParagraph"/>
        <w:numPr>
          <w:ilvl w:val="0"/>
          <w:numId w:val="2"/>
        </w:numPr>
        <w:spacing w:after="100"/>
      </w:pPr>
      <w:r>
        <w:rPr>
          <w:color w:val="333333"/>
        </w:rPr>
        <w:t>If your child is likely to miss 15 or more days due to illness, the school must notify the local authority.</w:t>
      </w:r>
      <w:r w:rsidR="00D71478">
        <w:rPr>
          <w:color w:val="333333"/>
        </w:rPr>
        <w:t xml:space="preserve"> </w:t>
      </w:r>
      <w:hyperlink r:id="rId8" w:history="1">
        <w:r w:rsidR="00D71478" w:rsidRPr="00D71478">
          <w:rPr>
            <w:rStyle w:val="Hyperlink"/>
          </w:rPr>
          <w:t>send-empowerment.co.uk/resources/guides-and-checklists/</w:t>
        </w:r>
      </w:hyperlink>
      <w:r w:rsidR="00D71478">
        <w:rPr>
          <w:color w:val="333333"/>
        </w:rPr>
        <w:t xml:space="preserve"> Please find our guide to Section 19 here. </w:t>
      </w:r>
    </w:p>
    <w:p w14:paraId="600B58F0" w14:textId="77777777" w:rsidR="0065074E" w:rsidRDefault="000244B1">
      <w:pPr>
        <w:spacing w:before="240" w:after="120"/>
      </w:pPr>
      <w:r>
        <w:rPr>
          <w:b/>
          <w:bCs/>
          <w:color w:val="841450"/>
          <w:sz w:val="24"/>
          <w:szCs w:val="24"/>
        </w:rPr>
        <w:t>Medical Evidence</w:t>
      </w:r>
    </w:p>
    <w:p w14:paraId="2BC9C20D" w14:textId="6330B671" w:rsidR="0065074E" w:rsidRDefault="000244B1" w:rsidP="0097362A">
      <w:pPr>
        <w:spacing w:after="160"/>
      </w:pPr>
      <w:r>
        <w:rPr>
          <w:color w:val="333333"/>
        </w:rPr>
        <w:t>This is an area where many parents experience difficulties. The DfE guidance is clear: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65074E" w14:paraId="34ED1848" w14:textId="77777777">
        <w:tc>
          <w:tcPr>
            <w:tcW w:w="9360" w:type="dxa"/>
            <w:tcBorders>
              <w:top w:val="single" w:sz="1" w:space="0" w:color="81C784"/>
              <w:left w:val="single" w:sz="12" w:space="0" w:color="388E3C"/>
              <w:bottom w:val="single" w:sz="1" w:space="0" w:color="81C784"/>
              <w:right w:val="single" w:sz="1" w:space="0" w:color="81C784"/>
            </w:tcBorders>
            <w:shd w:val="clear" w:color="auto" w:fill="E8F5E9"/>
            <w:tcMar>
              <w:top w:w="120" w:type="dxa"/>
              <w:left w:w="200" w:type="dxa"/>
              <w:bottom w:w="120" w:type="dxa"/>
              <w:right w:w="200" w:type="dxa"/>
            </w:tcMar>
          </w:tcPr>
          <w:p w14:paraId="76264762" w14:textId="77777777" w:rsidR="0065074E" w:rsidRDefault="000244B1">
            <w:pPr>
              <w:spacing w:after="80"/>
            </w:pPr>
            <w:r>
              <w:rPr>
                <w:b/>
                <w:bCs/>
                <w:color w:val="2E7D32"/>
              </w:rPr>
              <w:t>What the DfE Guidance Says About Medical Evidence</w:t>
            </w:r>
          </w:p>
          <w:p w14:paraId="358D7290" w14:textId="77777777" w:rsidR="0065074E" w:rsidRDefault="000244B1">
            <w:pPr>
              <w:spacing w:after="80"/>
            </w:pPr>
            <w:r>
              <w:rPr>
                <w:color w:val="333333"/>
              </w:rPr>
              <w:t>Medical evidence should only be requested in a minority of cases. In most cases, a parent’s notification that their child is too ill to attend should be accepted.</w:t>
            </w:r>
          </w:p>
          <w:p w14:paraId="0E70D0D0" w14:textId="77777777" w:rsidR="0065074E" w:rsidRDefault="000244B1">
            <w:pPr>
              <w:spacing w:after="80"/>
            </w:pPr>
            <w:r>
              <w:rPr>
                <w:color w:val="333333"/>
              </w:rPr>
              <w:t>Schools must not place unnecessary pressure on health services.</w:t>
            </w:r>
          </w:p>
          <w:p w14:paraId="19076E84" w14:textId="77777777" w:rsidR="0065074E" w:rsidRDefault="000244B1">
            <w:r>
              <w:rPr>
                <w:color w:val="333333"/>
              </w:rPr>
              <w:t>Where a child’s health need is complex or long-term, schools can seek medical evidence to better understand the child’s needs and identify suitable provision – but this should be done in partnership with families and external agencies, not as a condition of authorising absence.</w:t>
            </w:r>
          </w:p>
          <w:p w14:paraId="4D278536" w14:textId="77777777" w:rsidR="0065074E" w:rsidRDefault="000244B1">
            <w:pPr>
              <w:spacing w:after="80"/>
            </w:pPr>
            <w:r>
              <w:rPr>
                <w:color w:val="333333"/>
              </w:rPr>
              <w:t>Where medical evidence is deemed necessary, schools should not be rigid about the form of evidence they request. They should speak to the family about what evidence is available. If a parent cannot provide evidence in the form requested but can provide other evidence, schools should take this into account.</w:t>
            </w:r>
          </w:p>
          <w:p w14:paraId="002E387F" w14:textId="77777777" w:rsidR="0065074E" w:rsidRDefault="000244B1">
            <w:pPr>
              <w:spacing w:after="80"/>
            </w:pPr>
            <w:r>
              <w:rPr>
                <w:color w:val="333333"/>
              </w:rPr>
              <w:t>This means evidence does not have to be a GP letter. It could include correspondence from other health professionals, CAMHS, therapists, or other agencies involved in your child’s care. It could also include appointment cards, prescription records, hospital discharge summaries, or letters from specialists.</w:t>
            </w:r>
          </w:p>
          <w:p w14:paraId="083A0561" w14:textId="77777777" w:rsidR="0065074E" w:rsidRDefault="000244B1">
            <w:r>
              <w:rPr>
                <w:color w:val="333333"/>
              </w:rPr>
              <w:lastRenderedPageBreak/>
              <w:t>If a parent cannot provide any written evidence at all, the guidance says the school should have a conversation with the parent and pupil (if appropriate), and that conversation may itself serve as the necessary evidence to record the absence.</w:t>
            </w:r>
          </w:p>
        </w:tc>
      </w:tr>
    </w:tbl>
    <w:p w14:paraId="06C9534C" w14:textId="77777777" w:rsidR="0065074E" w:rsidRDefault="0065074E">
      <w:pPr>
        <w:spacing w:after="200"/>
      </w:pPr>
    </w:p>
    <w:p w14:paraId="6B699E84" w14:textId="06443CDA" w:rsidR="0065074E" w:rsidRDefault="000244B1" w:rsidP="0097362A">
      <w:r>
        <w:rPr>
          <w:b/>
          <w:bCs/>
          <w:color w:val="841450"/>
          <w:sz w:val="28"/>
          <w:szCs w:val="28"/>
        </w:rPr>
        <w:t>5. The Equality Act 2010 and Reasonable Adjustments</w:t>
      </w:r>
    </w:p>
    <w:p w14:paraId="4DF32B4F" w14:textId="77777777" w:rsidR="0065074E" w:rsidRDefault="000244B1">
      <w:pPr>
        <w:spacing w:after="160"/>
      </w:pPr>
      <w:r>
        <w:rPr>
          <w:color w:val="333333"/>
        </w:rPr>
        <w:t>The Equality Act 2010 provides important legal protections for children with disabilities. Under the Act, a person has a disability if they have a physical or mental impairment that has a substantial and long-term adverse effect on their ability to carry out normal day-to-day activities. “Long-term” means 12 months or more. “Substantial” means more than minor or trivial.</w:t>
      </w:r>
    </w:p>
    <w:p w14:paraId="04D14B32" w14:textId="77777777" w:rsidR="0065074E" w:rsidRDefault="000244B1">
      <w:pPr>
        <w:spacing w:after="160"/>
      </w:pPr>
      <w:r>
        <w:rPr>
          <w:color w:val="333333"/>
        </w:rPr>
        <w:t>This can include conditions such as autism, ADHD, anxiety disorders, and other neurodevelopmental or mental health conditions, whether or not there is a formal diagnosis.</w:t>
      </w:r>
    </w:p>
    <w:p w14:paraId="6C3E7A4E" w14:textId="77777777" w:rsidR="0065074E" w:rsidRDefault="000244B1">
      <w:pPr>
        <w:spacing w:after="160"/>
      </w:pPr>
      <w:r>
        <w:rPr>
          <w:color w:val="333333"/>
        </w:rPr>
        <w:t>Schools have a legal duty under the Equality Act to make reasonable adjustments to their policies and practices so that disabled pupils are not placed at a substantial disadvantage compared to non-disabled pupils. This duty applies to attendance policies.</w:t>
      </w:r>
    </w:p>
    <w:p w14:paraId="33E6E491" w14:textId="77777777" w:rsidR="0065074E" w:rsidRDefault="000244B1">
      <w:pPr>
        <w:spacing w:before="240" w:after="120"/>
      </w:pPr>
      <w:r>
        <w:rPr>
          <w:b/>
          <w:bCs/>
          <w:color w:val="841450"/>
          <w:sz w:val="24"/>
          <w:szCs w:val="24"/>
        </w:rPr>
        <w:t>Examples of Reasonable Adjustments for Attendance</w:t>
      </w:r>
    </w:p>
    <w:p w14:paraId="3BDB6D9C" w14:textId="77777777" w:rsidR="0065074E" w:rsidRDefault="000244B1">
      <w:pPr>
        <w:spacing w:after="160"/>
      </w:pPr>
      <w:r>
        <w:rPr>
          <w:color w:val="333333"/>
        </w:rPr>
        <w:t>The DfE guidance and the Equality Act together mean that schools should consider adjustments such as:</w:t>
      </w:r>
    </w:p>
    <w:p w14:paraId="6C08D8D4" w14:textId="77777777" w:rsidR="0065074E" w:rsidRDefault="000244B1">
      <w:pPr>
        <w:pStyle w:val="ListParagraph"/>
        <w:numPr>
          <w:ilvl w:val="0"/>
          <w:numId w:val="2"/>
        </w:numPr>
        <w:spacing w:after="100"/>
      </w:pPr>
      <w:r>
        <w:rPr>
          <w:color w:val="333333"/>
        </w:rPr>
        <w:t>Flexible arrival or departure times.</w:t>
      </w:r>
    </w:p>
    <w:p w14:paraId="2A733115" w14:textId="77777777" w:rsidR="0065074E" w:rsidRDefault="000244B1">
      <w:pPr>
        <w:pStyle w:val="ListParagraph"/>
        <w:numPr>
          <w:ilvl w:val="0"/>
          <w:numId w:val="2"/>
        </w:numPr>
        <w:spacing w:after="100"/>
      </w:pPr>
      <w:r>
        <w:rPr>
          <w:color w:val="333333"/>
        </w:rPr>
        <w:t>A phased or part-time return after a period of absence.</w:t>
      </w:r>
    </w:p>
    <w:p w14:paraId="202EB40B" w14:textId="77777777" w:rsidR="0065074E" w:rsidRDefault="000244B1">
      <w:pPr>
        <w:pStyle w:val="ListParagraph"/>
        <w:numPr>
          <w:ilvl w:val="0"/>
          <w:numId w:val="2"/>
        </w:numPr>
        <w:spacing w:after="100"/>
      </w:pPr>
      <w:r>
        <w:rPr>
          <w:color w:val="333333"/>
        </w:rPr>
        <w:t>Access to a quiet or safe space during the school day.</w:t>
      </w:r>
    </w:p>
    <w:p w14:paraId="3ABDD36D" w14:textId="77777777" w:rsidR="0065074E" w:rsidRDefault="000244B1">
      <w:pPr>
        <w:pStyle w:val="ListParagraph"/>
        <w:numPr>
          <w:ilvl w:val="0"/>
          <w:numId w:val="2"/>
        </w:numPr>
        <w:spacing w:after="100"/>
      </w:pPr>
      <w:r>
        <w:rPr>
          <w:color w:val="333333"/>
        </w:rPr>
        <w:t>Use of exit cards or breaks when needed.</w:t>
      </w:r>
    </w:p>
    <w:p w14:paraId="1F64D6BD" w14:textId="77777777" w:rsidR="0065074E" w:rsidRDefault="000244B1">
      <w:pPr>
        <w:pStyle w:val="ListParagraph"/>
        <w:numPr>
          <w:ilvl w:val="0"/>
          <w:numId w:val="2"/>
        </w:numPr>
        <w:spacing w:after="100"/>
      </w:pPr>
      <w:r>
        <w:rPr>
          <w:color w:val="333333"/>
        </w:rPr>
        <w:t>Adjustments to uniform, lunchtime arrangements or transport.</w:t>
      </w:r>
    </w:p>
    <w:p w14:paraId="7A8ED7D7" w14:textId="77777777" w:rsidR="0065074E" w:rsidRDefault="000244B1">
      <w:pPr>
        <w:pStyle w:val="ListParagraph"/>
        <w:numPr>
          <w:ilvl w:val="0"/>
          <w:numId w:val="2"/>
        </w:numPr>
        <w:spacing w:after="100"/>
      </w:pPr>
      <w:r>
        <w:rPr>
          <w:color w:val="333333"/>
        </w:rPr>
        <w:t>A named key adult for your child to go to.</w:t>
      </w:r>
    </w:p>
    <w:p w14:paraId="54FB425F" w14:textId="77777777" w:rsidR="0065074E" w:rsidRDefault="000244B1">
      <w:pPr>
        <w:spacing w:after="160"/>
      </w:pPr>
      <w:r>
        <w:rPr>
          <w:color w:val="333333"/>
        </w:rPr>
        <w:t>These are examples and not an exhaustive list. The right adjustments will depend on your child’s individual needs.</w:t>
      </w:r>
    </w:p>
    <w:p w14:paraId="462E2CAC" w14:textId="77777777" w:rsidR="0065074E" w:rsidRDefault="0065074E">
      <w:pPr>
        <w:spacing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65074E" w14:paraId="42B64A14" w14:textId="77777777">
        <w:tc>
          <w:tcPr>
            <w:tcW w:w="9360" w:type="dxa"/>
            <w:tcBorders>
              <w:top w:val="single" w:sz="1" w:space="0" w:color="D4A84B"/>
              <w:left w:val="single" w:sz="12" w:space="0" w:color="C49030"/>
              <w:bottom w:val="single" w:sz="1" w:space="0" w:color="D4A84B"/>
              <w:right w:val="single" w:sz="1" w:space="0" w:color="D4A84B"/>
            </w:tcBorders>
            <w:shd w:val="clear" w:color="auto" w:fill="FFF8E1"/>
            <w:tcMar>
              <w:top w:w="120" w:type="dxa"/>
              <w:left w:w="200" w:type="dxa"/>
              <w:bottom w:w="120" w:type="dxa"/>
              <w:right w:w="200" w:type="dxa"/>
            </w:tcMar>
          </w:tcPr>
          <w:p w14:paraId="7474AD7B" w14:textId="77777777" w:rsidR="0065074E" w:rsidRDefault="000244B1">
            <w:pPr>
              <w:spacing w:after="80"/>
            </w:pPr>
            <w:r>
              <w:rPr>
                <w:b/>
                <w:bCs/>
                <w:color w:val="8B6914"/>
              </w:rPr>
              <w:t>Important</w:t>
            </w:r>
          </w:p>
          <w:p w14:paraId="3B303036" w14:textId="77777777" w:rsidR="0065074E" w:rsidRDefault="000244B1">
            <w:r>
              <w:rPr>
                <w:color w:val="333333"/>
              </w:rPr>
              <w:t>The Equality Act 2010 takes precedence over school policies. If a school’s attendance policy conflicts with its duties under the Equality Act, the Equality Act duties take priority. A school cannot apply a blanket attendance policy in a way that discriminates against a disabled child.</w:t>
            </w:r>
          </w:p>
        </w:tc>
      </w:tr>
    </w:tbl>
    <w:p w14:paraId="6644BF86" w14:textId="77777777" w:rsidR="0065074E" w:rsidRDefault="0065074E">
      <w:pPr>
        <w:spacing w:after="200"/>
      </w:pPr>
    </w:p>
    <w:p w14:paraId="767464D9" w14:textId="77777777" w:rsidR="0065074E" w:rsidRDefault="000244B1">
      <w:pPr>
        <w:spacing w:before="360" w:after="200"/>
      </w:pPr>
      <w:r>
        <w:rPr>
          <w:b/>
          <w:bCs/>
          <w:color w:val="841450"/>
          <w:sz w:val="28"/>
          <w:szCs w:val="28"/>
        </w:rPr>
        <w:t>6. Part-Time Timetables</w:t>
      </w:r>
    </w:p>
    <w:p w14:paraId="6A4DCB9F" w14:textId="77777777" w:rsidR="0065074E" w:rsidRDefault="000244B1">
      <w:pPr>
        <w:spacing w:after="160"/>
      </w:pPr>
      <w:r>
        <w:rPr>
          <w:color w:val="333333"/>
        </w:rPr>
        <w:t>All children of compulsory school age are entitled to a full-time education. However, the DfE guidance recognises that in very exceptional circumstances, a temporary part-time timetable may be needed to meet a child’s individual needs – for example, where a medical condition prevents full-time attendance.</w:t>
      </w:r>
    </w:p>
    <w:p w14:paraId="45897717" w14:textId="77777777" w:rsidR="0065074E" w:rsidRDefault="000244B1">
      <w:pPr>
        <w:spacing w:after="160"/>
      </w:pPr>
      <w:r>
        <w:rPr>
          <w:color w:val="333333"/>
        </w:rPr>
        <w:lastRenderedPageBreak/>
        <w:t>The guidance sets clear rules about how part-time timetables should be used:</w:t>
      </w:r>
    </w:p>
    <w:p w14:paraId="45AA8F83" w14:textId="77777777" w:rsidR="0065074E" w:rsidRDefault="000244B1">
      <w:pPr>
        <w:pStyle w:val="ListParagraph"/>
        <w:numPr>
          <w:ilvl w:val="0"/>
          <w:numId w:val="2"/>
        </w:numPr>
        <w:spacing w:after="100"/>
      </w:pPr>
      <w:r>
        <w:rPr>
          <w:color w:val="333333"/>
        </w:rPr>
        <w:t>It must be agreed by both the school and the parent. A school cannot place your child on a part-time timetable without your agreement.</w:t>
      </w:r>
    </w:p>
    <w:p w14:paraId="3B506C7B" w14:textId="77777777" w:rsidR="0065074E" w:rsidRDefault="000244B1">
      <w:pPr>
        <w:pStyle w:val="ListParagraph"/>
        <w:numPr>
          <w:ilvl w:val="0"/>
          <w:numId w:val="2"/>
        </w:numPr>
        <w:spacing w:after="100"/>
      </w:pPr>
      <w:r>
        <w:rPr>
          <w:color w:val="333333"/>
        </w:rPr>
        <w:t>It must be part of a wider support, health care, or reintegration plan with a clear ambition for return to full-time education.</w:t>
      </w:r>
    </w:p>
    <w:p w14:paraId="175E8700" w14:textId="77777777" w:rsidR="0065074E" w:rsidRDefault="000244B1">
      <w:pPr>
        <w:pStyle w:val="ListParagraph"/>
        <w:numPr>
          <w:ilvl w:val="0"/>
          <w:numId w:val="2"/>
        </w:numPr>
        <w:spacing w:after="100"/>
      </w:pPr>
      <w:r>
        <w:rPr>
          <w:color w:val="333333"/>
        </w:rPr>
        <w:t>It must have a proposed end date and be reviewed regularly, with you and your child involved in those reviews.</w:t>
      </w:r>
    </w:p>
    <w:p w14:paraId="206DB616" w14:textId="77777777" w:rsidR="0065074E" w:rsidRDefault="000244B1">
      <w:pPr>
        <w:pStyle w:val="ListParagraph"/>
        <w:numPr>
          <w:ilvl w:val="0"/>
          <w:numId w:val="2"/>
        </w:numPr>
        <w:spacing w:after="100"/>
      </w:pPr>
      <w:r>
        <w:rPr>
          <w:color w:val="333333"/>
        </w:rPr>
        <w:t>It must not be used to manage behaviour.</w:t>
      </w:r>
    </w:p>
    <w:p w14:paraId="2BEF2E7A" w14:textId="77777777" w:rsidR="0065074E" w:rsidRDefault="000244B1">
      <w:pPr>
        <w:pStyle w:val="ListParagraph"/>
        <w:numPr>
          <w:ilvl w:val="0"/>
          <w:numId w:val="2"/>
        </w:numPr>
        <w:spacing w:after="100"/>
      </w:pPr>
      <w:r>
        <w:rPr>
          <w:color w:val="333333"/>
        </w:rPr>
        <w:t>If your child has an EHC plan, the school must immediately discuss the part-time timetable with the local authority so the plan can be reviewed.</w:t>
      </w:r>
    </w:p>
    <w:p w14:paraId="11D6D8E9" w14:textId="77777777" w:rsidR="0065074E" w:rsidRDefault="000244B1">
      <w:pPr>
        <w:pStyle w:val="ListParagraph"/>
        <w:numPr>
          <w:ilvl w:val="0"/>
          <w:numId w:val="2"/>
        </w:numPr>
        <w:spacing w:after="100"/>
      </w:pPr>
      <w:r>
        <w:rPr>
          <w:color w:val="333333"/>
        </w:rPr>
        <w:t>If your child has a social worker, they must be kept informed.</w:t>
      </w:r>
    </w:p>
    <w:p w14:paraId="7A4C2D45" w14:textId="77777777" w:rsidR="0065074E" w:rsidRDefault="0065074E">
      <w:pPr>
        <w:spacing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65074E" w14:paraId="559E90BB" w14:textId="77777777">
        <w:tc>
          <w:tcPr>
            <w:tcW w:w="9360" w:type="dxa"/>
            <w:tcBorders>
              <w:top w:val="single" w:sz="1" w:space="0" w:color="D4A84B"/>
              <w:left w:val="single" w:sz="12" w:space="0" w:color="C49030"/>
              <w:bottom w:val="single" w:sz="1" w:space="0" w:color="D4A84B"/>
              <w:right w:val="single" w:sz="1" w:space="0" w:color="D4A84B"/>
            </w:tcBorders>
            <w:shd w:val="clear" w:color="auto" w:fill="FFF8E1"/>
            <w:tcMar>
              <w:top w:w="120" w:type="dxa"/>
              <w:left w:w="200" w:type="dxa"/>
              <w:bottom w:w="120" w:type="dxa"/>
              <w:right w:w="200" w:type="dxa"/>
            </w:tcMar>
          </w:tcPr>
          <w:p w14:paraId="5771ACF9" w14:textId="77777777" w:rsidR="0065074E" w:rsidRDefault="000244B1">
            <w:pPr>
              <w:spacing w:after="80"/>
            </w:pPr>
            <w:r>
              <w:rPr>
                <w:b/>
                <w:bCs/>
                <w:color w:val="8B6914"/>
              </w:rPr>
              <w:t>Watch Out For</w:t>
            </w:r>
          </w:p>
          <w:p w14:paraId="3F059E81" w14:textId="77777777" w:rsidR="0065074E" w:rsidRDefault="000244B1">
            <w:r>
              <w:rPr>
                <w:color w:val="333333"/>
              </w:rPr>
              <w:t>A part-time timetable must not be treated as a long-term solution. If your child has been on a reduced timetable for a prolonged period, ask the school what steps are being taken to return to full-time education and whether an early review of their EHC plan or a new needs assessment should be requested.</w:t>
            </w:r>
          </w:p>
        </w:tc>
      </w:tr>
    </w:tbl>
    <w:p w14:paraId="3F2335EB" w14:textId="77777777" w:rsidR="0065074E" w:rsidRDefault="0065074E">
      <w:pPr>
        <w:spacing w:after="200"/>
      </w:pPr>
    </w:p>
    <w:p w14:paraId="3802285F" w14:textId="46D975A1" w:rsidR="0065074E" w:rsidRDefault="000244B1" w:rsidP="0097362A">
      <w:pPr>
        <w:rPr>
          <w:b/>
          <w:bCs/>
          <w:color w:val="841450"/>
          <w:sz w:val="28"/>
          <w:szCs w:val="28"/>
        </w:rPr>
      </w:pPr>
      <w:r>
        <w:rPr>
          <w:b/>
          <w:bCs/>
          <w:color w:val="841450"/>
          <w:sz w:val="28"/>
          <w:szCs w:val="28"/>
        </w:rPr>
        <w:t>7. Support Must Come Before Enforcement</w:t>
      </w:r>
    </w:p>
    <w:p w14:paraId="6D127F0F" w14:textId="77777777" w:rsidR="0097362A" w:rsidRDefault="0097362A" w:rsidP="0097362A"/>
    <w:p w14:paraId="45D38B18" w14:textId="77777777" w:rsidR="0065074E" w:rsidRDefault="000244B1">
      <w:pPr>
        <w:spacing w:after="160"/>
      </w:pPr>
      <w:r>
        <w:rPr>
          <w:color w:val="333333"/>
        </w:rPr>
        <w:t>The DfE guidance is built around a “support first” approach. Schools and local authorities are expected to follow a clear process before any legal action is considered:</w:t>
      </w:r>
    </w:p>
    <w:p w14:paraId="5F8BF59A" w14:textId="77777777" w:rsidR="0065074E" w:rsidRDefault="000244B1">
      <w:pPr>
        <w:pStyle w:val="ListParagraph"/>
        <w:numPr>
          <w:ilvl w:val="0"/>
          <w:numId w:val="3"/>
        </w:numPr>
        <w:spacing w:after="100"/>
      </w:pPr>
      <w:r>
        <w:rPr>
          <w:b/>
          <w:bCs/>
          <w:color w:val="333333"/>
        </w:rPr>
        <w:t xml:space="preserve">Monitor </w:t>
      </w:r>
      <w:r>
        <w:rPr>
          <w:color w:val="333333"/>
        </w:rPr>
        <w:t>attendance data and identify concerns early.</w:t>
      </w:r>
    </w:p>
    <w:p w14:paraId="175A05A4" w14:textId="77777777" w:rsidR="0065074E" w:rsidRDefault="000244B1">
      <w:pPr>
        <w:pStyle w:val="ListParagraph"/>
        <w:numPr>
          <w:ilvl w:val="0"/>
          <w:numId w:val="3"/>
        </w:numPr>
        <w:spacing w:after="100"/>
      </w:pPr>
      <w:r>
        <w:rPr>
          <w:b/>
          <w:bCs/>
          <w:color w:val="333333"/>
        </w:rPr>
        <w:t xml:space="preserve">Listen and understand </w:t>
      </w:r>
      <w:r>
        <w:rPr>
          <w:color w:val="333333"/>
        </w:rPr>
        <w:t>the barriers your family is facing.</w:t>
      </w:r>
    </w:p>
    <w:p w14:paraId="73971F3F" w14:textId="77777777" w:rsidR="0065074E" w:rsidRDefault="000244B1">
      <w:pPr>
        <w:pStyle w:val="ListParagraph"/>
        <w:numPr>
          <w:ilvl w:val="0"/>
          <w:numId w:val="3"/>
        </w:numPr>
        <w:spacing w:after="100"/>
      </w:pPr>
      <w:r>
        <w:rPr>
          <w:b/>
          <w:bCs/>
          <w:color w:val="333333"/>
        </w:rPr>
        <w:t xml:space="preserve">Offer support </w:t>
      </w:r>
      <w:r>
        <w:rPr>
          <w:color w:val="333333"/>
        </w:rPr>
        <w:t>to remove barriers, both within school and through external services.</w:t>
      </w:r>
    </w:p>
    <w:p w14:paraId="07969659" w14:textId="77777777" w:rsidR="0065074E" w:rsidRDefault="000244B1">
      <w:pPr>
        <w:pStyle w:val="ListParagraph"/>
        <w:numPr>
          <w:ilvl w:val="0"/>
          <w:numId w:val="3"/>
        </w:numPr>
        <w:spacing w:after="100"/>
      </w:pPr>
      <w:r>
        <w:rPr>
          <w:b/>
          <w:bCs/>
          <w:color w:val="333333"/>
        </w:rPr>
        <w:t xml:space="preserve">Formalise support </w:t>
      </w:r>
      <w:r>
        <w:rPr>
          <w:color w:val="333333"/>
        </w:rPr>
        <w:t>if voluntary support is not working, for example through an attendance contract.</w:t>
      </w:r>
    </w:p>
    <w:p w14:paraId="37127B85" w14:textId="77777777" w:rsidR="0065074E" w:rsidRDefault="000244B1">
      <w:pPr>
        <w:pStyle w:val="ListParagraph"/>
        <w:numPr>
          <w:ilvl w:val="0"/>
          <w:numId w:val="3"/>
        </w:numPr>
        <w:spacing w:after="100"/>
      </w:pPr>
      <w:r>
        <w:rPr>
          <w:b/>
          <w:bCs/>
          <w:color w:val="333333"/>
        </w:rPr>
        <w:t xml:space="preserve">Enforce </w:t>
      </w:r>
      <w:r>
        <w:rPr>
          <w:color w:val="333333"/>
        </w:rPr>
        <w:t>only as a last resort, after all other options have been tried.</w:t>
      </w:r>
    </w:p>
    <w:p w14:paraId="5B197714" w14:textId="77777777" w:rsidR="0065074E" w:rsidRDefault="000244B1">
      <w:pPr>
        <w:spacing w:after="160"/>
      </w:pPr>
      <w:r>
        <w:rPr>
          <w:color w:val="333333"/>
        </w:rPr>
        <w:t>For children with SEND, this “support first” approach is especially important. The guidance states that schools should take a sensitive, supportive approach rather than reaching immediately for punitive measures. Punitive approaches should not be the first response.</w:t>
      </w:r>
    </w:p>
    <w:p w14:paraId="7AFA2B54" w14:textId="77777777" w:rsidR="0065074E" w:rsidRDefault="0065074E">
      <w:pPr>
        <w:spacing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65074E" w14:paraId="716ED6FB" w14:textId="77777777">
        <w:tc>
          <w:tcPr>
            <w:tcW w:w="9360" w:type="dxa"/>
            <w:tcBorders>
              <w:top w:val="single" w:sz="1" w:space="0" w:color="81C784"/>
              <w:left w:val="single" w:sz="12" w:space="0" w:color="388E3C"/>
              <w:bottom w:val="single" w:sz="1" w:space="0" w:color="81C784"/>
              <w:right w:val="single" w:sz="1" w:space="0" w:color="81C784"/>
            </w:tcBorders>
            <w:shd w:val="clear" w:color="auto" w:fill="E8F5E9"/>
            <w:tcMar>
              <w:top w:w="120" w:type="dxa"/>
              <w:left w:w="200" w:type="dxa"/>
              <w:bottom w:w="120" w:type="dxa"/>
              <w:right w:w="200" w:type="dxa"/>
            </w:tcMar>
          </w:tcPr>
          <w:p w14:paraId="6A5D3963" w14:textId="77777777" w:rsidR="0065074E" w:rsidRDefault="000244B1">
            <w:pPr>
              <w:spacing w:after="80"/>
            </w:pPr>
            <w:r>
              <w:rPr>
                <w:b/>
                <w:bCs/>
                <w:color w:val="2E7D32"/>
              </w:rPr>
              <w:t>Your Right to Support</w:t>
            </w:r>
          </w:p>
          <w:p w14:paraId="156F7F2E" w14:textId="77777777" w:rsidR="0065074E" w:rsidRDefault="000244B1">
            <w:r>
              <w:rPr>
                <w:color w:val="333333"/>
              </w:rPr>
              <w:t>Before any penalty notice or legal action, you should have been offered meaningful support and given a genuine opportunity to engage with it. If you feel you have been threatened with fines or prosecution without first being offered support, raise this with the school and refer to the DfE guidance.</w:t>
            </w:r>
          </w:p>
        </w:tc>
      </w:tr>
    </w:tbl>
    <w:p w14:paraId="443A6221" w14:textId="77777777" w:rsidR="0065074E" w:rsidRDefault="0065074E">
      <w:pPr>
        <w:spacing w:after="200"/>
      </w:pPr>
    </w:p>
    <w:p w14:paraId="0ED36B13" w14:textId="77777777" w:rsidR="0065074E" w:rsidRDefault="000244B1">
      <w:pPr>
        <w:spacing w:before="360" w:after="200"/>
      </w:pPr>
      <w:r>
        <w:rPr>
          <w:b/>
          <w:bCs/>
          <w:color w:val="841450"/>
          <w:sz w:val="28"/>
          <w:szCs w:val="28"/>
        </w:rPr>
        <w:lastRenderedPageBreak/>
        <w:t>8. Penalty Notices and Children with SEND</w:t>
      </w:r>
    </w:p>
    <w:p w14:paraId="5FBF7EA2" w14:textId="77777777" w:rsidR="0065074E" w:rsidRDefault="000244B1">
      <w:pPr>
        <w:spacing w:after="160"/>
      </w:pPr>
      <w:r>
        <w:rPr>
          <w:color w:val="333333"/>
        </w:rPr>
        <w:t>Penalty notices can be issued when a child has 10 or more sessions of unauthorised absence in a rolling 10-week period. However, decisions about legal intervention must be made on a case-by-case basis.</w:t>
      </w:r>
    </w:p>
    <w:p w14:paraId="5069F8AC" w14:textId="77777777" w:rsidR="0065074E" w:rsidRDefault="000244B1">
      <w:pPr>
        <w:spacing w:after="160"/>
      </w:pPr>
      <w:r>
        <w:rPr>
          <w:color w:val="333333"/>
        </w:rPr>
        <w:t>For children with SEND, schools and local authorities should carefully consider whether:</w:t>
      </w:r>
    </w:p>
    <w:p w14:paraId="0C75C6F0" w14:textId="77777777" w:rsidR="0065074E" w:rsidRDefault="000244B1">
      <w:pPr>
        <w:pStyle w:val="ListParagraph"/>
        <w:numPr>
          <w:ilvl w:val="0"/>
          <w:numId w:val="2"/>
        </w:numPr>
        <w:spacing w:after="100"/>
      </w:pPr>
      <w:r>
        <w:rPr>
          <w:color w:val="333333"/>
        </w:rPr>
        <w:t>The absence is linked to the child’s disability or health condition.</w:t>
      </w:r>
    </w:p>
    <w:p w14:paraId="1D5DA09C" w14:textId="77777777" w:rsidR="0065074E" w:rsidRDefault="000244B1">
      <w:pPr>
        <w:pStyle w:val="ListParagraph"/>
        <w:numPr>
          <w:ilvl w:val="0"/>
          <w:numId w:val="2"/>
        </w:numPr>
        <w:spacing w:after="100"/>
      </w:pPr>
      <w:r>
        <w:rPr>
          <w:color w:val="333333"/>
        </w:rPr>
        <w:t>Reasonable adjustments have been made under the Equality Act 2010.</w:t>
      </w:r>
    </w:p>
    <w:p w14:paraId="2BE735B9" w14:textId="77777777" w:rsidR="0065074E" w:rsidRDefault="000244B1">
      <w:pPr>
        <w:pStyle w:val="ListParagraph"/>
        <w:numPr>
          <w:ilvl w:val="0"/>
          <w:numId w:val="2"/>
        </w:numPr>
        <w:spacing w:after="100"/>
      </w:pPr>
      <w:r>
        <w:rPr>
          <w:color w:val="333333"/>
        </w:rPr>
        <w:t>The provision in the child’s EHC plan (if they have one) has been properly delivered.</w:t>
      </w:r>
    </w:p>
    <w:p w14:paraId="6004C4C2" w14:textId="77777777" w:rsidR="0065074E" w:rsidRDefault="000244B1">
      <w:pPr>
        <w:pStyle w:val="ListParagraph"/>
        <w:numPr>
          <w:ilvl w:val="0"/>
          <w:numId w:val="2"/>
        </w:numPr>
        <w:spacing w:after="100"/>
      </w:pPr>
      <w:r>
        <w:rPr>
          <w:color w:val="333333"/>
        </w:rPr>
        <w:t>Meaningful support has been offered and there has been a genuine opportunity to engage.</w:t>
      </w:r>
    </w:p>
    <w:p w14:paraId="31FD3C6A" w14:textId="77777777" w:rsidR="0065074E" w:rsidRDefault="000244B1">
      <w:pPr>
        <w:pStyle w:val="ListParagraph"/>
        <w:numPr>
          <w:ilvl w:val="0"/>
          <w:numId w:val="2"/>
        </w:numPr>
        <w:spacing w:after="100"/>
      </w:pPr>
      <w:r>
        <w:rPr>
          <w:color w:val="333333"/>
        </w:rPr>
        <w:t>The school has followed the “support first” approach set out in the DfE guidance.</w:t>
      </w:r>
    </w:p>
    <w:p w14:paraId="5B038499" w14:textId="77777777" w:rsidR="0065074E" w:rsidRDefault="000244B1">
      <w:pPr>
        <w:spacing w:before="240" w:after="120"/>
      </w:pPr>
      <w:r>
        <w:rPr>
          <w:b/>
          <w:bCs/>
          <w:color w:val="841450"/>
          <w:sz w:val="24"/>
          <w:szCs w:val="24"/>
        </w:rPr>
        <w:t>Statutory Defences</w:t>
      </w:r>
    </w:p>
    <w:p w14:paraId="3102D679" w14:textId="77777777" w:rsidR="0065074E" w:rsidRDefault="000244B1">
      <w:pPr>
        <w:spacing w:after="160"/>
      </w:pPr>
      <w:r>
        <w:rPr>
          <w:color w:val="333333"/>
        </w:rPr>
        <w:t>A parent has not committed an offence if:</w:t>
      </w:r>
    </w:p>
    <w:p w14:paraId="54EAA138" w14:textId="77777777" w:rsidR="0065074E" w:rsidRDefault="000244B1">
      <w:pPr>
        <w:pStyle w:val="ListParagraph"/>
        <w:numPr>
          <w:ilvl w:val="0"/>
          <w:numId w:val="2"/>
        </w:numPr>
        <w:spacing w:after="100"/>
      </w:pPr>
      <w:r>
        <w:rPr>
          <w:color w:val="333333"/>
        </w:rPr>
        <w:t>The child was absent due to illness or an unavoidable cause.</w:t>
      </w:r>
    </w:p>
    <w:p w14:paraId="4837C333" w14:textId="77777777" w:rsidR="0065074E" w:rsidRDefault="000244B1">
      <w:pPr>
        <w:pStyle w:val="ListParagraph"/>
        <w:numPr>
          <w:ilvl w:val="0"/>
          <w:numId w:val="2"/>
        </w:numPr>
        <w:spacing w:after="100"/>
      </w:pPr>
      <w:r>
        <w:rPr>
          <w:color w:val="333333"/>
        </w:rPr>
        <w:t>The school had granted a leave of absence.</w:t>
      </w:r>
    </w:p>
    <w:p w14:paraId="1E485DE9" w14:textId="77777777" w:rsidR="0065074E" w:rsidRDefault="000244B1">
      <w:pPr>
        <w:pStyle w:val="ListParagraph"/>
        <w:numPr>
          <w:ilvl w:val="0"/>
          <w:numId w:val="2"/>
        </w:numPr>
        <w:spacing w:after="100"/>
      </w:pPr>
      <w:r>
        <w:rPr>
          <w:color w:val="333333"/>
        </w:rPr>
        <w:t>The absence was on a day set aside for religious observance.</w:t>
      </w:r>
    </w:p>
    <w:p w14:paraId="59477A13" w14:textId="77777777" w:rsidR="0065074E" w:rsidRDefault="000244B1">
      <w:pPr>
        <w:pStyle w:val="ListParagraph"/>
        <w:numPr>
          <w:ilvl w:val="0"/>
          <w:numId w:val="2"/>
        </w:numPr>
        <w:spacing w:after="100"/>
      </w:pPr>
      <w:r>
        <w:rPr>
          <w:color w:val="333333"/>
        </w:rPr>
        <w:t>The local authority failed to provide transport it was required to provide.</w:t>
      </w:r>
    </w:p>
    <w:p w14:paraId="7AB9F5DD" w14:textId="77777777" w:rsidR="0097362A" w:rsidRDefault="0097362A" w:rsidP="0097362A"/>
    <w:p w14:paraId="2CBE0D8E" w14:textId="4A0346A5" w:rsidR="0065074E" w:rsidRDefault="000244B1" w:rsidP="0097362A">
      <w:r>
        <w:rPr>
          <w:b/>
          <w:bCs/>
          <w:color w:val="841450"/>
          <w:sz w:val="28"/>
          <w:szCs w:val="28"/>
        </w:rPr>
        <w:t>9. What You Can Do</w:t>
      </w:r>
    </w:p>
    <w:p w14:paraId="121ABA82" w14:textId="77777777" w:rsidR="0065074E" w:rsidRDefault="000244B1">
      <w:pPr>
        <w:spacing w:before="240" w:after="120"/>
      </w:pPr>
      <w:r>
        <w:rPr>
          <w:b/>
          <w:bCs/>
          <w:color w:val="841450"/>
          <w:sz w:val="24"/>
          <w:szCs w:val="24"/>
        </w:rPr>
        <w:t>Keep Records</w:t>
      </w:r>
    </w:p>
    <w:p w14:paraId="2671D05D" w14:textId="77777777" w:rsidR="0065074E" w:rsidRDefault="000244B1">
      <w:pPr>
        <w:pStyle w:val="ListParagraph"/>
        <w:numPr>
          <w:ilvl w:val="0"/>
          <w:numId w:val="2"/>
        </w:numPr>
        <w:spacing w:after="100"/>
      </w:pPr>
      <w:r>
        <w:rPr>
          <w:color w:val="333333"/>
        </w:rPr>
        <w:t>Keep copies of all letters, emails and communications with the school about your child’s attendance.</w:t>
      </w:r>
    </w:p>
    <w:p w14:paraId="77535008" w14:textId="77777777" w:rsidR="0065074E" w:rsidRDefault="000244B1">
      <w:pPr>
        <w:pStyle w:val="ListParagraph"/>
        <w:numPr>
          <w:ilvl w:val="0"/>
          <w:numId w:val="2"/>
        </w:numPr>
        <w:spacing w:after="100"/>
      </w:pPr>
      <w:r>
        <w:rPr>
          <w:color w:val="333333"/>
        </w:rPr>
        <w:t>Record the dates and details of any meetings, including who was present and what was agreed.</w:t>
      </w:r>
    </w:p>
    <w:p w14:paraId="5232315A" w14:textId="77777777" w:rsidR="0065074E" w:rsidRDefault="000244B1">
      <w:pPr>
        <w:pStyle w:val="ListParagraph"/>
        <w:numPr>
          <w:ilvl w:val="0"/>
          <w:numId w:val="2"/>
        </w:numPr>
        <w:spacing w:after="100"/>
      </w:pPr>
      <w:r>
        <w:rPr>
          <w:color w:val="333333"/>
        </w:rPr>
        <w:t>Note what support has been offered and whether it has been put in place.</w:t>
      </w:r>
    </w:p>
    <w:p w14:paraId="6A9C19A4" w14:textId="77777777" w:rsidR="0065074E" w:rsidRDefault="000244B1">
      <w:pPr>
        <w:pStyle w:val="ListParagraph"/>
        <w:numPr>
          <w:ilvl w:val="0"/>
          <w:numId w:val="2"/>
        </w:numPr>
        <w:spacing w:after="100"/>
      </w:pPr>
      <w:r>
        <w:rPr>
          <w:color w:val="333333"/>
        </w:rPr>
        <w:t>Keep any medical letters, reports or evidence relating to your child’s condition.</w:t>
      </w:r>
    </w:p>
    <w:p w14:paraId="0190A184" w14:textId="77777777" w:rsidR="0065074E" w:rsidRDefault="000244B1">
      <w:pPr>
        <w:spacing w:before="240" w:after="120"/>
      </w:pPr>
      <w:r>
        <w:rPr>
          <w:b/>
          <w:bCs/>
          <w:color w:val="841450"/>
          <w:sz w:val="24"/>
          <w:szCs w:val="24"/>
        </w:rPr>
        <w:t>Ask the Right Questions</w:t>
      </w:r>
    </w:p>
    <w:p w14:paraId="2490FEE0" w14:textId="77777777" w:rsidR="0065074E" w:rsidRDefault="000244B1">
      <w:pPr>
        <w:spacing w:after="160"/>
      </w:pPr>
      <w:r>
        <w:rPr>
          <w:color w:val="333333"/>
        </w:rPr>
        <w:t>If the school raises attendance concerns about your child, consider asking:</w:t>
      </w:r>
    </w:p>
    <w:p w14:paraId="698E9A82" w14:textId="77777777" w:rsidR="0065074E" w:rsidRDefault="000244B1">
      <w:pPr>
        <w:pStyle w:val="ListParagraph"/>
        <w:numPr>
          <w:ilvl w:val="0"/>
          <w:numId w:val="2"/>
        </w:numPr>
        <w:spacing w:after="100"/>
      </w:pPr>
      <w:r>
        <w:rPr>
          <w:color w:val="333333"/>
        </w:rPr>
        <w:t>What reasonable adjustments have been made or considered under the Equality Act 2010?</w:t>
      </w:r>
    </w:p>
    <w:p w14:paraId="1ECA6F58" w14:textId="77777777" w:rsidR="0065074E" w:rsidRDefault="000244B1">
      <w:pPr>
        <w:pStyle w:val="ListParagraph"/>
        <w:numPr>
          <w:ilvl w:val="0"/>
          <w:numId w:val="2"/>
        </w:numPr>
        <w:spacing w:after="100"/>
      </w:pPr>
      <w:r>
        <w:rPr>
          <w:color w:val="333333"/>
        </w:rPr>
        <w:t>Has the school looked at what in-school barriers might be affecting my child’s attendance?</w:t>
      </w:r>
    </w:p>
    <w:p w14:paraId="571E335F" w14:textId="77777777" w:rsidR="0065074E" w:rsidRDefault="000244B1">
      <w:pPr>
        <w:pStyle w:val="ListParagraph"/>
        <w:numPr>
          <w:ilvl w:val="0"/>
          <w:numId w:val="2"/>
        </w:numPr>
        <w:spacing w:after="100"/>
      </w:pPr>
      <w:r>
        <w:rPr>
          <w:color w:val="333333"/>
        </w:rPr>
        <w:t>If my child has an EHC plan, is all the provision being delivered? Has the local authority been informed about the attendance concerns?</w:t>
      </w:r>
    </w:p>
    <w:p w14:paraId="3CA5AA64" w14:textId="77777777" w:rsidR="0065074E" w:rsidRDefault="000244B1">
      <w:pPr>
        <w:pStyle w:val="ListParagraph"/>
        <w:numPr>
          <w:ilvl w:val="0"/>
          <w:numId w:val="2"/>
        </w:numPr>
        <w:spacing w:after="100"/>
      </w:pPr>
      <w:r>
        <w:rPr>
          <w:color w:val="333333"/>
        </w:rPr>
        <w:t>Has the school considered whether an early review of the EHC plan is needed?</w:t>
      </w:r>
    </w:p>
    <w:p w14:paraId="3A8680DD" w14:textId="77777777" w:rsidR="0065074E" w:rsidRDefault="000244B1">
      <w:pPr>
        <w:pStyle w:val="ListParagraph"/>
        <w:numPr>
          <w:ilvl w:val="0"/>
          <w:numId w:val="2"/>
        </w:numPr>
        <w:spacing w:after="100"/>
      </w:pPr>
      <w:r>
        <w:rPr>
          <w:color w:val="333333"/>
        </w:rPr>
        <w:t>What support is being offered before any formal or legal action?</w:t>
      </w:r>
    </w:p>
    <w:p w14:paraId="550A8383" w14:textId="77777777" w:rsidR="0065074E" w:rsidRDefault="000244B1">
      <w:pPr>
        <w:pStyle w:val="ListParagraph"/>
        <w:numPr>
          <w:ilvl w:val="0"/>
          <w:numId w:val="2"/>
        </w:numPr>
        <w:spacing w:after="100"/>
      </w:pPr>
      <w:r>
        <w:rPr>
          <w:color w:val="333333"/>
        </w:rPr>
        <w:lastRenderedPageBreak/>
        <w:t>Has the school followed the six-stage framework in the DfE guidance?</w:t>
      </w:r>
    </w:p>
    <w:p w14:paraId="0F6421A5" w14:textId="77777777" w:rsidR="0065074E" w:rsidRDefault="000244B1">
      <w:pPr>
        <w:spacing w:before="240" w:after="120"/>
      </w:pPr>
      <w:r>
        <w:rPr>
          <w:b/>
          <w:bCs/>
          <w:color w:val="841450"/>
          <w:sz w:val="24"/>
          <w:szCs w:val="24"/>
        </w:rPr>
        <w:t>Know When to Seek Further Help</w:t>
      </w:r>
    </w:p>
    <w:p w14:paraId="0F6B5D62" w14:textId="77777777" w:rsidR="0065074E" w:rsidRDefault="000244B1">
      <w:pPr>
        <w:pStyle w:val="ListParagraph"/>
        <w:numPr>
          <w:ilvl w:val="0"/>
          <w:numId w:val="2"/>
        </w:numPr>
        <w:spacing w:after="100"/>
      </w:pPr>
      <w:r>
        <w:rPr>
          <w:color w:val="333333"/>
        </w:rPr>
        <w:t>If you believe the school is not meeting its duties under the Equality Act 2010, you can raise this with the school’s governing body or trust.</w:t>
      </w:r>
    </w:p>
    <w:p w14:paraId="24EA330C" w14:textId="77777777" w:rsidR="0065074E" w:rsidRDefault="000244B1">
      <w:pPr>
        <w:pStyle w:val="ListParagraph"/>
        <w:numPr>
          <w:ilvl w:val="0"/>
          <w:numId w:val="2"/>
        </w:numPr>
        <w:spacing w:after="100"/>
      </w:pPr>
      <w:r>
        <w:rPr>
          <w:color w:val="333333"/>
        </w:rPr>
        <w:t>If your child does not have an EHC plan but you believe they need one, you have the right to request an EHC needs assessment from the local authority.</w:t>
      </w:r>
    </w:p>
    <w:p w14:paraId="47B520E9" w14:textId="77777777" w:rsidR="0065074E" w:rsidRDefault="000244B1">
      <w:pPr>
        <w:pStyle w:val="ListParagraph"/>
        <w:numPr>
          <w:ilvl w:val="0"/>
          <w:numId w:val="2"/>
        </w:numPr>
        <w:spacing w:after="100"/>
      </w:pPr>
      <w:r>
        <w:rPr>
          <w:color w:val="333333"/>
        </w:rPr>
        <w:t>If you are facing legal action and believe the school has not provided adequate support, seek independent legal advice.</w:t>
      </w:r>
    </w:p>
    <w:p w14:paraId="7864DAD8" w14:textId="08D77BB1" w:rsidR="0065074E" w:rsidRDefault="000244B1" w:rsidP="0097362A">
      <w:pPr>
        <w:pStyle w:val="ListParagraph"/>
        <w:numPr>
          <w:ilvl w:val="0"/>
          <w:numId w:val="2"/>
        </w:numPr>
        <w:spacing w:after="100"/>
      </w:pPr>
      <w:r>
        <w:rPr>
          <w:color w:val="333333"/>
        </w:rPr>
        <w:t>Your local SENDIASS (Special Educational Needs and Disabilities Information, Advice and Support Service) can provide free, impartial advice. Every local authority has one.</w:t>
      </w:r>
    </w:p>
    <w:p w14:paraId="502C9458" w14:textId="77777777" w:rsidR="0065074E" w:rsidRDefault="000244B1">
      <w:pPr>
        <w:spacing w:before="360" w:after="200"/>
      </w:pPr>
      <w:r>
        <w:rPr>
          <w:b/>
          <w:bCs/>
          <w:color w:val="841450"/>
          <w:sz w:val="28"/>
          <w:szCs w:val="28"/>
        </w:rPr>
        <w:t>10. Key Reference Documents</w:t>
      </w:r>
    </w:p>
    <w:p w14:paraId="5943C1D1" w14:textId="77777777" w:rsidR="0065074E" w:rsidRDefault="000244B1">
      <w:pPr>
        <w:pStyle w:val="ListParagraph"/>
        <w:numPr>
          <w:ilvl w:val="0"/>
          <w:numId w:val="2"/>
        </w:numPr>
        <w:spacing w:after="100"/>
      </w:pPr>
      <w:r>
        <w:rPr>
          <w:color w:val="333333"/>
        </w:rPr>
        <w:t>Working Together to Improve School Attendance (DfE, August 2024) – the main statutory guidance.</w:t>
      </w:r>
    </w:p>
    <w:p w14:paraId="176F6491" w14:textId="77777777" w:rsidR="0065074E" w:rsidRDefault="000244B1">
      <w:pPr>
        <w:pStyle w:val="ListParagraph"/>
        <w:numPr>
          <w:ilvl w:val="0"/>
          <w:numId w:val="2"/>
        </w:numPr>
        <w:spacing w:after="100"/>
      </w:pPr>
      <w:r>
        <w:rPr>
          <w:color w:val="333333"/>
        </w:rPr>
        <w:t>SEND Code of Practice (DfE, 2015) – sets out how schools should meet the needs of pupils with SEND.</w:t>
      </w:r>
    </w:p>
    <w:p w14:paraId="2771C8E6" w14:textId="77777777" w:rsidR="0065074E" w:rsidRDefault="000244B1">
      <w:pPr>
        <w:pStyle w:val="ListParagraph"/>
        <w:numPr>
          <w:ilvl w:val="0"/>
          <w:numId w:val="2"/>
        </w:numPr>
        <w:spacing w:after="100"/>
      </w:pPr>
      <w:r>
        <w:rPr>
          <w:color w:val="333333"/>
        </w:rPr>
        <w:t>Equality Act 2010 – the law on disability discrimination and reasonable adjustments.</w:t>
      </w:r>
    </w:p>
    <w:p w14:paraId="5334D833" w14:textId="77777777" w:rsidR="0065074E" w:rsidRDefault="000244B1">
      <w:pPr>
        <w:pStyle w:val="ListParagraph"/>
        <w:numPr>
          <w:ilvl w:val="0"/>
          <w:numId w:val="2"/>
        </w:numPr>
        <w:spacing w:after="100"/>
      </w:pPr>
      <w:r>
        <w:rPr>
          <w:color w:val="333333"/>
        </w:rPr>
        <w:t>Education Act 1996 – the law on school attendance and the right to education.</w:t>
      </w:r>
    </w:p>
    <w:p w14:paraId="2D5702A8" w14:textId="77777777" w:rsidR="0065074E" w:rsidRDefault="000244B1">
      <w:pPr>
        <w:pStyle w:val="ListParagraph"/>
        <w:numPr>
          <w:ilvl w:val="0"/>
          <w:numId w:val="2"/>
        </w:numPr>
        <w:spacing w:after="100"/>
      </w:pPr>
      <w:r>
        <w:rPr>
          <w:color w:val="333333"/>
        </w:rPr>
        <w:t>Children and Families Act 2014 – the legal framework for EHC plans.</w:t>
      </w:r>
    </w:p>
    <w:p w14:paraId="7E0DB09B" w14:textId="77777777" w:rsidR="0065074E" w:rsidRDefault="000244B1">
      <w:pPr>
        <w:pStyle w:val="ListParagraph"/>
        <w:numPr>
          <w:ilvl w:val="0"/>
          <w:numId w:val="2"/>
        </w:numPr>
        <w:spacing w:after="100"/>
      </w:pPr>
      <w:r>
        <w:rPr>
          <w:color w:val="333333"/>
        </w:rPr>
        <w:t>Your child’s school attendance policy – available on the school’s website.</w:t>
      </w:r>
    </w:p>
    <w:p w14:paraId="6E3D38BF" w14:textId="77777777" w:rsidR="0065074E" w:rsidRDefault="0065074E">
      <w:pPr>
        <w:spacing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65074E" w14:paraId="45115414" w14:textId="77777777">
        <w:tc>
          <w:tcPr>
            <w:tcW w:w="9360" w:type="dxa"/>
            <w:tcBorders>
              <w:top w:val="single" w:sz="1" w:space="0" w:color="C46B96"/>
              <w:left w:val="single" w:sz="12" w:space="0" w:color="841450"/>
              <w:bottom w:val="single" w:sz="1" w:space="0" w:color="C46B96"/>
              <w:right w:val="single" w:sz="1" w:space="0" w:color="C46B96"/>
            </w:tcBorders>
            <w:shd w:val="clear" w:color="auto" w:fill="F2E0EA"/>
            <w:tcMar>
              <w:top w:w="120" w:type="dxa"/>
              <w:left w:w="200" w:type="dxa"/>
              <w:bottom w:w="120" w:type="dxa"/>
              <w:right w:w="200" w:type="dxa"/>
            </w:tcMar>
          </w:tcPr>
          <w:p w14:paraId="3DB6DCC4" w14:textId="77777777" w:rsidR="0065074E" w:rsidRDefault="000244B1">
            <w:pPr>
              <w:spacing w:after="80"/>
            </w:pPr>
            <w:r>
              <w:rPr>
                <w:b/>
                <w:bCs/>
                <w:color w:val="841450"/>
              </w:rPr>
              <w:t>Remember</w:t>
            </w:r>
          </w:p>
          <w:p w14:paraId="2B401BE7" w14:textId="0650483C" w:rsidR="0065074E" w:rsidRDefault="000244B1">
            <w:pPr>
              <w:spacing w:after="80"/>
            </w:pPr>
            <w:r>
              <w:rPr>
                <w:color w:val="333333"/>
              </w:rPr>
              <w:t>This guide provides general information based on national statutory guidance. It should be read alongside “Working Together to Improve School Attendance” (DfE, August 2024). Your child’s school will have its own attendance policy with specific rules and procedures always check this alongside this guide.</w:t>
            </w:r>
          </w:p>
          <w:p w14:paraId="557B3872" w14:textId="5D594F6C" w:rsidR="0065074E" w:rsidRDefault="000244B1">
            <w:pPr>
              <w:spacing w:after="80"/>
            </w:pPr>
            <w:r>
              <w:rPr>
                <w:color w:val="333333"/>
              </w:rPr>
              <w:t>Schools must have regard to the DfE statutory guidance. The Equality Act 2010 and SEND Code of Practice also place legal duties on school</w:t>
            </w:r>
            <w:r w:rsidR="00D71478">
              <w:rPr>
                <w:color w:val="333333"/>
              </w:rPr>
              <w:t>s.</w:t>
            </w:r>
          </w:p>
          <w:p w14:paraId="73634888" w14:textId="77777777" w:rsidR="0065074E" w:rsidRDefault="000244B1">
            <w:pPr>
              <w:rPr>
                <w:i/>
                <w:iCs/>
                <w:color w:val="555555"/>
              </w:rPr>
            </w:pPr>
            <w:r>
              <w:rPr>
                <w:i/>
                <w:iCs/>
                <w:color w:val="555555"/>
              </w:rPr>
              <w:t>This guide is not legal advice.</w:t>
            </w:r>
          </w:p>
          <w:p w14:paraId="73314AD9" w14:textId="77777777" w:rsidR="00D71478" w:rsidRDefault="00D71478"/>
        </w:tc>
      </w:tr>
    </w:tbl>
    <w:p w14:paraId="44D356D0" w14:textId="77777777" w:rsidR="0065074E" w:rsidRDefault="0065074E">
      <w:pPr>
        <w:spacing w:after="200"/>
      </w:pPr>
    </w:p>
    <w:p w14:paraId="7AB63157" w14:textId="77777777" w:rsidR="0065074E" w:rsidRDefault="000244B1">
      <w:pPr>
        <w:spacing w:after="100"/>
        <w:jc w:val="center"/>
      </w:pPr>
      <w:r>
        <w:rPr>
          <w:noProof/>
        </w:rPr>
        <w:drawing>
          <wp:inline distT="0" distB="0" distL="0" distR="0" wp14:anchorId="1D7B70C1" wp14:editId="23A1531D">
            <wp:extent cx="952500" cy="857250"/>
            <wp:effectExtent l="0" t="0" r="0" b="0"/>
            <wp:docPr id="1707989522" name="FooterLogo" descr="SEND Empowerment Advice and Support logo" title="SEND Empower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952500" cy="857250"/>
                    </a:xfrm>
                    <a:prstGeom prst="rect">
                      <a:avLst/>
                    </a:prstGeom>
                  </pic:spPr>
                </pic:pic>
              </a:graphicData>
            </a:graphic>
          </wp:inline>
        </w:drawing>
      </w:r>
    </w:p>
    <w:p w14:paraId="3A8FD742" w14:textId="77777777" w:rsidR="0065074E" w:rsidRDefault="000244B1">
      <w:pPr>
        <w:jc w:val="center"/>
      </w:pPr>
      <w:r>
        <w:rPr>
          <w:i/>
          <w:iCs/>
          <w:color w:val="999999"/>
          <w:sz w:val="18"/>
          <w:szCs w:val="18"/>
        </w:rPr>
        <w:t>Based on: Working Together to Improve School Attendance (DfE, August 2024)</w:t>
      </w:r>
    </w:p>
    <w:sectPr w:rsidR="0065074E">
      <w:headerReference w:type="default" r:id="rId9"/>
      <w:footerReference w:type="default" r:id="rId10"/>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35CB5" w14:textId="77777777" w:rsidR="00770C9C" w:rsidRDefault="00770C9C">
      <w:r>
        <w:separator/>
      </w:r>
    </w:p>
  </w:endnote>
  <w:endnote w:type="continuationSeparator" w:id="0">
    <w:p w14:paraId="19CDD7EB" w14:textId="77777777" w:rsidR="00770C9C" w:rsidRDefault="00770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33C32" w14:textId="77777777" w:rsidR="0065074E" w:rsidRDefault="000244B1">
    <w:pPr>
      <w:pBdr>
        <w:top w:val="single" w:sz="1" w:space="4" w:color="C46B96"/>
      </w:pBdr>
      <w:spacing w:before="100"/>
      <w:jc w:val="center"/>
    </w:pPr>
    <w:r>
      <w:rPr>
        <w:color w:val="999999"/>
        <w:sz w:val="18"/>
        <w:szCs w:val="18"/>
      </w:rPr>
      <w:t xml:space="preserve">Page </w:t>
    </w:r>
    <w:r>
      <w:rPr>
        <w:color w:val="999999"/>
        <w:sz w:val="18"/>
        <w:szCs w:val="18"/>
      </w:rPr>
      <w:fldChar w:fldCharType="begin"/>
    </w:r>
    <w:r>
      <w:rPr>
        <w:color w:val="999999"/>
        <w:sz w:val="18"/>
        <w:szCs w:val="18"/>
      </w:rPr>
      <w:instrText>PAGE</w:instrText>
    </w:r>
    <w:r>
      <w:rPr>
        <w:color w:val="999999"/>
        <w:sz w:val="18"/>
        <w:szCs w:val="18"/>
      </w:rPr>
      <w:fldChar w:fldCharType="separate"/>
    </w:r>
    <w:r w:rsidR="0097362A">
      <w:rPr>
        <w:noProof/>
        <w:color w:val="999999"/>
        <w:sz w:val="18"/>
        <w:szCs w:val="18"/>
      </w:rPr>
      <w:t>1</w:t>
    </w:r>
    <w:r>
      <w:rPr>
        <w:color w:val="999999"/>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E27FE" w14:textId="77777777" w:rsidR="00770C9C" w:rsidRDefault="00770C9C">
      <w:r>
        <w:separator/>
      </w:r>
    </w:p>
  </w:footnote>
  <w:footnote w:type="continuationSeparator" w:id="0">
    <w:p w14:paraId="746B2B98" w14:textId="77777777" w:rsidR="00770C9C" w:rsidRDefault="00770C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35C36" w14:textId="77777777" w:rsidR="0065074E" w:rsidRDefault="000244B1">
    <w:pPr>
      <w:jc w:val="right"/>
    </w:pPr>
    <w:r>
      <w:rPr>
        <w:i/>
        <w:iCs/>
        <w:color w:val="841450"/>
        <w:sz w:val="18"/>
        <w:szCs w:val="18"/>
      </w:rPr>
      <w:t>SEND Empowerment – Advice &amp; Support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1356F"/>
    <w:multiLevelType w:val="hybridMultilevel"/>
    <w:tmpl w:val="2BD85D3E"/>
    <w:lvl w:ilvl="0" w:tplc="66706386">
      <w:start w:val="1"/>
      <w:numFmt w:val="bullet"/>
      <w:lvlText w:val="•"/>
      <w:lvlJc w:val="left"/>
      <w:pPr>
        <w:ind w:left="720" w:hanging="360"/>
      </w:pPr>
    </w:lvl>
    <w:lvl w:ilvl="1" w:tplc="89F6411E">
      <w:numFmt w:val="decimal"/>
      <w:lvlText w:val=""/>
      <w:lvlJc w:val="left"/>
    </w:lvl>
    <w:lvl w:ilvl="2" w:tplc="6818BFC0">
      <w:numFmt w:val="decimal"/>
      <w:lvlText w:val=""/>
      <w:lvlJc w:val="left"/>
    </w:lvl>
    <w:lvl w:ilvl="3" w:tplc="9E5011AA">
      <w:numFmt w:val="decimal"/>
      <w:lvlText w:val=""/>
      <w:lvlJc w:val="left"/>
    </w:lvl>
    <w:lvl w:ilvl="4" w:tplc="0E2034B6">
      <w:numFmt w:val="decimal"/>
      <w:lvlText w:val=""/>
      <w:lvlJc w:val="left"/>
    </w:lvl>
    <w:lvl w:ilvl="5" w:tplc="8D0A64A4">
      <w:numFmt w:val="decimal"/>
      <w:lvlText w:val=""/>
      <w:lvlJc w:val="left"/>
    </w:lvl>
    <w:lvl w:ilvl="6" w:tplc="3E50CED4">
      <w:numFmt w:val="decimal"/>
      <w:lvlText w:val=""/>
      <w:lvlJc w:val="left"/>
    </w:lvl>
    <w:lvl w:ilvl="7" w:tplc="15A00BA8">
      <w:numFmt w:val="decimal"/>
      <w:lvlText w:val=""/>
      <w:lvlJc w:val="left"/>
    </w:lvl>
    <w:lvl w:ilvl="8" w:tplc="B256FA2A">
      <w:numFmt w:val="decimal"/>
      <w:lvlText w:val=""/>
      <w:lvlJc w:val="left"/>
    </w:lvl>
  </w:abstractNum>
  <w:abstractNum w:abstractNumId="1" w15:restartNumberingAfterBreak="0">
    <w:nsid w:val="30753A64"/>
    <w:multiLevelType w:val="hybridMultilevel"/>
    <w:tmpl w:val="5F9C6C54"/>
    <w:lvl w:ilvl="0" w:tplc="36105688">
      <w:start w:val="1"/>
      <w:numFmt w:val="bullet"/>
      <w:lvlText w:val="●"/>
      <w:lvlJc w:val="left"/>
      <w:pPr>
        <w:ind w:left="720" w:hanging="360"/>
      </w:pPr>
    </w:lvl>
    <w:lvl w:ilvl="1" w:tplc="F0AE03D6">
      <w:start w:val="1"/>
      <w:numFmt w:val="bullet"/>
      <w:lvlText w:val="○"/>
      <w:lvlJc w:val="left"/>
      <w:pPr>
        <w:ind w:left="1440" w:hanging="360"/>
      </w:pPr>
    </w:lvl>
    <w:lvl w:ilvl="2" w:tplc="973AEFEE">
      <w:start w:val="1"/>
      <w:numFmt w:val="bullet"/>
      <w:lvlText w:val="■"/>
      <w:lvlJc w:val="left"/>
      <w:pPr>
        <w:ind w:left="2160" w:hanging="360"/>
      </w:pPr>
    </w:lvl>
    <w:lvl w:ilvl="3" w:tplc="060E958A">
      <w:start w:val="1"/>
      <w:numFmt w:val="bullet"/>
      <w:lvlText w:val="●"/>
      <w:lvlJc w:val="left"/>
      <w:pPr>
        <w:ind w:left="2880" w:hanging="360"/>
      </w:pPr>
    </w:lvl>
    <w:lvl w:ilvl="4" w:tplc="378449F0">
      <w:start w:val="1"/>
      <w:numFmt w:val="bullet"/>
      <w:lvlText w:val="○"/>
      <w:lvlJc w:val="left"/>
      <w:pPr>
        <w:ind w:left="3600" w:hanging="360"/>
      </w:pPr>
    </w:lvl>
    <w:lvl w:ilvl="5" w:tplc="D8D29124">
      <w:start w:val="1"/>
      <w:numFmt w:val="bullet"/>
      <w:lvlText w:val="■"/>
      <w:lvlJc w:val="left"/>
      <w:pPr>
        <w:ind w:left="4320" w:hanging="360"/>
      </w:pPr>
    </w:lvl>
    <w:lvl w:ilvl="6" w:tplc="7666B91C">
      <w:start w:val="1"/>
      <w:numFmt w:val="bullet"/>
      <w:lvlText w:val="●"/>
      <w:lvlJc w:val="left"/>
      <w:pPr>
        <w:ind w:left="5040" w:hanging="360"/>
      </w:pPr>
    </w:lvl>
    <w:lvl w:ilvl="7" w:tplc="EE48BF2E">
      <w:start w:val="1"/>
      <w:numFmt w:val="bullet"/>
      <w:lvlText w:val="●"/>
      <w:lvlJc w:val="left"/>
      <w:pPr>
        <w:ind w:left="5760" w:hanging="360"/>
      </w:pPr>
    </w:lvl>
    <w:lvl w:ilvl="8" w:tplc="E7706A02">
      <w:start w:val="1"/>
      <w:numFmt w:val="bullet"/>
      <w:lvlText w:val="●"/>
      <w:lvlJc w:val="left"/>
      <w:pPr>
        <w:ind w:left="6480" w:hanging="360"/>
      </w:pPr>
    </w:lvl>
  </w:abstractNum>
  <w:abstractNum w:abstractNumId="2" w15:restartNumberingAfterBreak="0">
    <w:nsid w:val="62645D9D"/>
    <w:multiLevelType w:val="hybridMultilevel"/>
    <w:tmpl w:val="3BAEEAD0"/>
    <w:lvl w:ilvl="0" w:tplc="E98057BA">
      <w:start w:val="1"/>
      <w:numFmt w:val="decimal"/>
      <w:lvlText w:val="%1."/>
      <w:lvlJc w:val="left"/>
      <w:pPr>
        <w:ind w:left="720" w:hanging="360"/>
      </w:pPr>
    </w:lvl>
    <w:lvl w:ilvl="1" w:tplc="E6B8C5BA">
      <w:numFmt w:val="decimal"/>
      <w:lvlText w:val=""/>
      <w:lvlJc w:val="left"/>
    </w:lvl>
    <w:lvl w:ilvl="2" w:tplc="0198606A">
      <w:numFmt w:val="decimal"/>
      <w:lvlText w:val=""/>
      <w:lvlJc w:val="left"/>
    </w:lvl>
    <w:lvl w:ilvl="3" w:tplc="5F94185C">
      <w:numFmt w:val="decimal"/>
      <w:lvlText w:val=""/>
      <w:lvlJc w:val="left"/>
    </w:lvl>
    <w:lvl w:ilvl="4" w:tplc="EB64DA8C">
      <w:numFmt w:val="decimal"/>
      <w:lvlText w:val=""/>
      <w:lvlJc w:val="left"/>
    </w:lvl>
    <w:lvl w:ilvl="5" w:tplc="E15AC57E">
      <w:numFmt w:val="decimal"/>
      <w:lvlText w:val=""/>
      <w:lvlJc w:val="left"/>
    </w:lvl>
    <w:lvl w:ilvl="6" w:tplc="E4F2C664">
      <w:numFmt w:val="decimal"/>
      <w:lvlText w:val=""/>
      <w:lvlJc w:val="left"/>
    </w:lvl>
    <w:lvl w:ilvl="7" w:tplc="6B60AB12">
      <w:numFmt w:val="decimal"/>
      <w:lvlText w:val=""/>
      <w:lvlJc w:val="left"/>
    </w:lvl>
    <w:lvl w:ilvl="8" w:tplc="539E3256">
      <w:numFmt w:val="decimal"/>
      <w:lvlText w:val=""/>
      <w:lvlJc w:val="left"/>
    </w:lvl>
  </w:abstractNum>
  <w:num w:numId="1" w16cid:durableId="91901501">
    <w:abstractNumId w:val="1"/>
    <w:lvlOverride w:ilvl="0">
      <w:startOverride w:val="1"/>
    </w:lvlOverride>
  </w:num>
  <w:num w:numId="2" w16cid:durableId="1072703454">
    <w:abstractNumId w:val="0"/>
    <w:lvlOverride w:ilvl="0">
      <w:startOverride w:val="1"/>
    </w:lvlOverride>
  </w:num>
  <w:num w:numId="3" w16cid:durableId="1671180284">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74E"/>
    <w:rsid w:val="000244B1"/>
    <w:rsid w:val="001362F8"/>
    <w:rsid w:val="00196EFC"/>
    <w:rsid w:val="001C46C6"/>
    <w:rsid w:val="002E5563"/>
    <w:rsid w:val="004E2B81"/>
    <w:rsid w:val="0065074E"/>
    <w:rsid w:val="00770C9C"/>
    <w:rsid w:val="0097362A"/>
    <w:rsid w:val="00CA7C68"/>
    <w:rsid w:val="00D71478"/>
    <w:rsid w:val="00E77AC4"/>
    <w:rsid w:val="00F771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F2B6F"/>
  <w15:docId w15:val="{3B10ED68-6068-48E2-94CD-98E07AC9B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00"/>
      <w:outlineLvl w:val="0"/>
    </w:pPr>
    <w:rPr>
      <w:b/>
      <w:bCs/>
      <w:color w:val="841450"/>
      <w:sz w:val="28"/>
      <w:szCs w:val="28"/>
    </w:rPr>
  </w:style>
  <w:style w:type="paragraph" w:styleId="Heading2">
    <w:name w:val="heading 2"/>
    <w:uiPriority w:val="9"/>
    <w:semiHidden/>
    <w:unhideWhenUsed/>
    <w:qFormat/>
    <w:pPr>
      <w:spacing w:before="240" w:after="120"/>
      <w:outlineLvl w:val="1"/>
    </w:pPr>
    <w:rPr>
      <w:b/>
      <w:bCs/>
      <w:color w:val="841450"/>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CommentReference">
    <w:name w:val="annotation reference"/>
    <w:basedOn w:val="DefaultParagraphFont"/>
    <w:uiPriority w:val="99"/>
    <w:semiHidden/>
    <w:unhideWhenUsed/>
    <w:rsid w:val="00196EFC"/>
    <w:rPr>
      <w:sz w:val="16"/>
      <w:szCs w:val="16"/>
    </w:rPr>
  </w:style>
  <w:style w:type="paragraph" w:styleId="CommentText">
    <w:name w:val="annotation text"/>
    <w:basedOn w:val="Normal"/>
    <w:link w:val="CommentTextChar"/>
    <w:uiPriority w:val="99"/>
    <w:unhideWhenUsed/>
    <w:rsid w:val="00196EFC"/>
    <w:rPr>
      <w:sz w:val="20"/>
      <w:szCs w:val="20"/>
    </w:rPr>
  </w:style>
  <w:style w:type="character" w:customStyle="1" w:styleId="CommentTextChar">
    <w:name w:val="Comment Text Char"/>
    <w:basedOn w:val="DefaultParagraphFont"/>
    <w:link w:val="CommentText"/>
    <w:uiPriority w:val="99"/>
    <w:rsid w:val="00196EFC"/>
    <w:rPr>
      <w:sz w:val="20"/>
      <w:szCs w:val="20"/>
    </w:rPr>
  </w:style>
  <w:style w:type="paragraph" w:styleId="CommentSubject">
    <w:name w:val="annotation subject"/>
    <w:basedOn w:val="CommentText"/>
    <w:next w:val="CommentText"/>
    <w:link w:val="CommentSubjectChar"/>
    <w:uiPriority w:val="99"/>
    <w:semiHidden/>
    <w:unhideWhenUsed/>
    <w:rsid w:val="00196EFC"/>
    <w:rPr>
      <w:b/>
      <w:bCs/>
    </w:rPr>
  </w:style>
  <w:style w:type="character" w:customStyle="1" w:styleId="CommentSubjectChar">
    <w:name w:val="Comment Subject Char"/>
    <w:basedOn w:val="CommentTextChar"/>
    <w:link w:val="CommentSubject"/>
    <w:uiPriority w:val="99"/>
    <w:semiHidden/>
    <w:rsid w:val="00196EFC"/>
    <w:rPr>
      <w:b/>
      <w:bCs/>
      <w:sz w:val="20"/>
      <w:szCs w:val="20"/>
    </w:rPr>
  </w:style>
  <w:style w:type="character" w:styleId="UnresolvedMention">
    <w:name w:val="Unresolved Mention"/>
    <w:basedOn w:val="DefaultParagraphFont"/>
    <w:uiPriority w:val="99"/>
    <w:semiHidden/>
    <w:unhideWhenUsed/>
    <w:rsid w:val="00D714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send-empowerment.co.uk/resources/guides-and-checklists/"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2154</Words>
  <Characters>12281</Characters>
  <Application>Microsoft Office Word</Application>
  <DocSecurity>0</DocSecurity>
  <Lines>102</Lines>
  <Paragraphs>28</Paragraphs>
  <ScaleCrop>false</ScaleCrop>
  <Company/>
  <LinksUpToDate>false</LinksUpToDate>
  <CharactersWithSpaces>14407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Torii Parsons</cp:lastModifiedBy>
  <cp:revision>4</cp:revision>
  <dcterms:created xsi:type="dcterms:W3CDTF">2026-04-20T09:02:00Z</dcterms:created>
  <dcterms:modified xsi:type="dcterms:W3CDTF">2026-04-21T16:59:00Z</dcterms:modified>
</cp:coreProperties>
</file>