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F0F7" w14:textId="11E09B4C" w:rsidR="00F215DD" w:rsidRDefault="2BDF13F6" w:rsidP="63506AAD">
      <w:pPr>
        <w:pStyle w:val="Heading1"/>
        <w:rPr>
          <w:rFonts w:ascii="Aptos" w:eastAsia="Aptos" w:hAnsi="Aptos" w:cs="Aptos"/>
          <w:b/>
          <w:bCs/>
          <w:color w:val="A30F7E"/>
          <w:u w:val="single"/>
        </w:rPr>
      </w:pPr>
      <w:r w:rsidRPr="63506AAD">
        <w:rPr>
          <w:rFonts w:ascii="Aptos" w:eastAsia="Aptos" w:hAnsi="Aptos" w:cs="Aptos"/>
          <w:b/>
          <w:bCs/>
          <w:color w:val="A30F7E"/>
          <w:u w:val="single"/>
        </w:rPr>
        <w:t>Post-16 SEND Options &amp; Rights: A Complete Guide for Parents and Carers</w:t>
      </w:r>
      <w:r w:rsidR="3C9C4B7E">
        <w:rPr>
          <w:noProof/>
        </w:rPr>
        <w:drawing>
          <wp:anchor distT="0" distB="0" distL="114300" distR="114300" simplePos="0" relativeHeight="251658240" behindDoc="0" locked="0" layoutInCell="1" allowOverlap="1" wp14:anchorId="18A5DB68" wp14:editId="4B8A5D5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27372" cy="1619248"/>
            <wp:effectExtent l="0" t="0" r="0" b="0"/>
            <wp:wrapSquare wrapText="bothSides"/>
            <wp:docPr id="642017601" name="Picture 642017601">
              <a:extLst xmlns:a="http://schemas.openxmlformats.org/drawingml/2006/main">
                <a:ext uri="{FF2B5EF4-FFF2-40B4-BE49-F238E27FC236}">
                  <a16:creationId xmlns:a16="http://schemas.microsoft.com/office/drawing/2014/main" id="{23803C2C-E6BB-4CB7-A1EA-CE6C58F765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372" cy="161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B1B" w14:textId="08AD154A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color w:val="A30F7E"/>
        </w:rPr>
      </w:pPr>
      <w:r w:rsidRPr="63506AAD">
        <w:rPr>
          <w:rFonts w:ascii="Aptos" w:eastAsia="Aptos" w:hAnsi="Aptos" w:cs="Aptos"/>
          <w:color w:val="A30F7E"/>
        </w:rPr>
        <w:t>Supporting Young People with EHCPs Beyond School</w:t>
      </w:r>
    </w:p>
    <w:p w14:paraId="66A081BD" w14:textId="7B508C2A" w:rsidR="00F215DD" w:rsidRDefault="00F215DD"/>
    <w:p w14:paraId="30F87EC2" w14:textId="3A0BEA35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</w:pPr>
      <w:r w:rsidRPr="63506AAD"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  <w:t>Why This Guide Matters</w:t>
      </w:r>
    </w:p>
    <w:p w14:paraId="298588F4" w14:textId="4B6D80CA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>For many families of children with SEND, the move beyond school is a time of major uncertainty. Parents often ask:</w:t>
      </w:r>
    </w:p>
    <w:p w14:paraId="2C8D5568" w14:textId="74DE76A9" w:rsidR="00F215DD" w:rsidRDefault="2BDF13F6" w:rsidP="3C9C4B7E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  <w:i/>
          <w:iCs/>
        </w:rPr>
      </w:pPr>
      <w:r w:rsidRPr="3C9C4B7E">
        <w:rPr>
          <w:rFonts w:ascii="Aptos" w:eastAsia="Aptos" w:hAnsi="Aptos" w:cs="Aptos"/>
          <w:i/>
          <w:iCs/>
        </w:rPr>
        <w:t>“Will my child keep their EHCP after age 16?”</w:t>
      </w:r>
    </w:p>
    <w:p w14:paraId="2F56AF3B" w14:textId="1113B67E" w:rsidR="00F215DD" w:rsidRDefault="2BDF13F6" w:rsidP="3C9C4B7E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  <w:i/>
          <w:iCs/>
        </w:rPr>
      </w:pPr>
      <w:r w:rsidRPr="3C9C4B7E">
        <w:rPr>
          <w:rFonts w:ascii="Aptos" w:eastAsia="Aptos" w:hAnsi="Aptos" w:cs="Aptos"/>
          <w:i/>
          <w:iCs/>
        </w:rPr>
        <w:t>“What education or training options are available?”</w:t>
      </w:r>
    </w:p>
    <w:p w14:paraId="1EBDD90F" w14:textId="5AFADE67" w:rsidR="00F215DD" w:rsidRDefault="2BDF13F6" w:rsidP="3C9C4B7E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  <w:i/>
          <w:iCs/>
        </w:rPr>
      </w:pPr>
      <w:r w:rsidRPr="3C9C4B7E">
        <w:rPr>
          <w:rFonts w:ascii="Aptos" w:eastAsia="Aptos" w:hAnsi="Aptos" w:cs="Aptos"/>
          <w:i/>
          <w:iCs/>
        </w:rPr>
        <w:t>“How do we plan for adult life?”</w:t>
      </w:r>
    </w:p>
    <w:p w14:paraId="7F315004" w14:textId="0D2B8A4C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The truth is: </w:t>
      </w:r>
      <w:r w:rsidRPr="3C9C4B7E">
        <w:rPr>
          <w:rFonts w:ascii="Aptos" w:eastAsia="Aptos" w:hAnsi="Aptos" w:cs="Aptos"/>
          <w:b/>
          <w:bCs/>
        </w:rPr>
        <w:t>young people with SEND have legal rights that continue well beyond age 16</w:t>
      </w:r>
      <w:r w:rsidRPr="3C9C4B7E">
        <w:rPr>
          <w:rFonts w:ascii="Aptos" w:eastAsia="Aptos" w:hAnsi="Aptos" w:cs="Aptos"/>
        </w:rPr>
        <w:t xml:space="preserve"> — including access to education, tailored support, and meaningful transition planning.</w:t>
      </w:r>
    </w:p>
    <w:p w14:paraId="6DD171A7" w14:textId="07ABD461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This guide walks you through everything you need to know about </w:t>
      </w:r>
      <w:r w:rsidRPr="3C9C4B7E">
        <w:rPr>
          <w:rFonts w:ascii="Aptos" w:eastAsia="Aptos" w:hAnsi="Aptos" w:cs="Aptos"/>
          <w:b/>
          <w:bCs/>
        </w:rPr>
        <w:t>post-16 education and SEND</w:t>
      </w:r>
      <w:r w:rsidRPr="3C9C4B7E">
        <w:rPr>
          <w:rFonts w:ascii="Aptos" w:eastAsia="Aptos" w:hAnsi="Aptos" w:cs="Aptos"/>
        </w:rPr>
        <w:t>, so you can confidently support your child’s journey into adulthood.</w:t>
      </w:r>
    </w:p>
    <w:p w14:paraId="7BC99038" w14:textId="75DA5F13" w:rsidR="00F215DD" w:rsidRDefault="00F215DD"/>
    <w:p w14:paraId="15A37BCA" w14:textId="24BADFFF" w:rsidR="2BDF13F6" w:rsidRDefault="2BDF13F6" w:rsidP="63506AAD">
      <w:pPr>
        <w:pStyle w:val="Heading2"/>
        <w:spacing w:before="299" w:after="299"/>
      </w:pPr>
      <w:r w:rsidRPr="63506AAD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  <w:sz w:val="36"/>
          <w:szCs w:val="36"/>
        </w:rPr>
        <w:t>Section 1: Your Child’s Rights After 16</w:t>
      </w:r>
    </w:p>
    <w:p w14:paraId="4FA64610" w14:textId="7DE1C377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>Key Fact:</w:t>
      </w:r>
    </w:p>
    <w:p w14:paraId="50B41002" w14:textId="0B93CCD3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A young person </w:t>
      </w:r>
      <w:r w:rsidRPr="3C9C4B7E">
        <w:rPr>
          <w:rFonts w:ascii="Aptos" w:eastAsia="Aptos" w:hAnsi="Aptos" w:cs="Aptos"/>
          <w:b/>
          <w:bCs/>
        </w:rPr>
        <w:t>can keep their EHCP up to age 25</w:t>
      </w:r>
      <w:r w:rsidRPr="3C9C4B7E">
        <w:rPr>
          <w:rFonts w:ascii="Aptos" w:eastAsia="Aptos" w:hAnsi="Aptos" w:cs="Aptos"/>
        </w:rPr>
        <w:t>, as long as:</w:t>
      </w:r>
    </w:p>
    <w:p w14:paraId="40AB191B" w14:textId="55A6B21A" w:rsidR="00F215DD" w:rsidRDefault="2BDF13F6" w:rsidP="3C9C4B7E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 xml:space="preserve">They are in </w:t>
      </w:r>
      <w:r w:rsidRPr="3C9C4B7E">
        <w:rPr>
          <w:rFonts w:ascii="Aptos" w:eastAsia="Aptos" w:hAnsi="Aptos" w:cs="Aptos"/>
          <w:b/>
          <w:bCs/>
        </w:rPr>
        <w:t>education or training</w:t>
      </w:r>
      <w:r w:rsidRPr="3C9C4B7E">
        <w:rPr>
          <w:rFonts w:ascii="Aptos" w:eastAsia="Aptos" w:hAnsi="Aptos" w:cs="Aptos"/>
        </w:rPr>
        <w:t xml:space="preserve"> (not employment alone)</w:t>
      </w:r>
    </w:p>
    <w:p w14:paraId="1A67F9A1" w14:textId="27A83FBA" w:rsidR="00F215DD" w:rsidRDefault="2BDF13F6" w:rsidP="3C9C4B7E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  <w:b/>
          <w:bCs/>
        </w:rPr>
      </w:pPr>
      <w:r w:rsidRPr="3C9C4B7E">
        <w:rPr>
          <w:rFonts w:ascii="Aptos" w:eastAsia="Aptos" w:hAnsi="Aptos" w:cs="Aptos"/>
        </w:rPr>
        <w:t xml:space="preserve">They still have </w:t>
      </w:r>
      <w:r w:rsidRPr="3C9C4B7E">
        <w:rPr>
          <w:rFonts w:ascii="Aptos" w:eastAsia="Aptos" w:hAnsi="Aptos" w:cs="Aptos"/>
          <w:b/>
          <w:bCs/>
        </w:rPr>
        <w:t>SEND requiring special educational provision</w:t>
      </w:r>
    </w:p>
    <w:p w14:paraId="5878C364" w14:textId="60FF61F9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>This applies to:</w:t>
      </w:r>
    </w:p>
    <w:p w14:paraId="1A3AE097" w14:textId="64776F7F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Colleges</w:t>
      </w:r>
    </w:p>
    <w:p w14:paraId="7F6B3108" w14:textId="75D80F58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lastRenderedPageBreak/>
        <w:t>Sixth forms</w:t>
      </w:r>
    </w:p>
    <w:p w14:paraId="11933870" w14:textId="08BC4E12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Specialist post-16 institutions</w:t>
      </w:r>
    </w:p>
    <w:p w14:paraId="0F9BBDC6" w14:textId="241F710C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Training centres</w:t>
      </w:r>
    </w:p>
    <w:p w14:paraId="7DAC7C4B" w14:textId="029E3044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Supported internships</w:t>
      </w:r>
    </w:p>
    <w:p w14:paraId="2B719326" w14:textId="0CD06124" w:rsidR="00F215DD" w:rsidRDefault="2BDF13F6" w:rsidP="3C9C4B7E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(Even some home education or blended settings, depending on provision)</w:t>
      </w:r>
    </w:p>
    <w:p w14:paraId="54391A3B" w14:textId="3366703B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</w:rPr>
        <w:t>Who Holds Legal Responsibility?</w:t>
      </w:r>
    </w:p>
    <w:p w14:paraId="43AA0DCD" w14:textId="6902BACC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From age 16, the </w:t>
      </w:r>
      <w:r w:rsidRPr="3C9C4B7E">
        <w:rPr>
          <w:rFonts w:ascii="Aptos" w:eastAsia="Aptos" w:hAnsi="Aptos" w:cs="Aptos"/>
          <w:b/>
          <w:bCs/>
        </w:rPr>
        <w:t>EHCP becomes the legal property of the young person</w:t>
      </w:r>
      <w:r w:rsidRPr="3C9C4B7E">
        <w:rPr>
          <w:rFonts w:ascii="Aptos" w:eastAsia="Aptos" w:hAnsi="Aptos" w:cs="Aptos"/>
        </w:rPr>
        <w:t>, not the parent — unless the young person:</w:t>
      </w:r>
    </w:p>
    <w:p w14:paraId="1ED8BBB0" w14:textId="1EF6F08C" w:rsidR="00F215DD" w:rsidRDefault="2BDF13F6" w:rsidP="3C9C4B7E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Lacks mental capacity to make decisions (in which case, a parent can still act on their behalf), or</w:t>
      </w:r>
    </w:p>
    <w:p w14:paraId="717997BC" w14:textId="426D2F55" w:rsidR="00F215DD" w:rsidRDefault="2BDF13F6" w:rsidP="3C9C4B7E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Provides written consent for their parent/carer to continue handling matters</w:t>
      </w:r>
    </w:p>
    <w:p w14:paraId="50A228EB" w14:textId="2D42B67F" w:rsidR="00F215DD" w:rsidRDefault="00F215DD"/>
    <w:p w14:paraId="1660EE54" w14:textId="17C80871" w:rsidR="00F215DD" w:rsidRDefault="2BDF13F6" w:rsidP="3C9C4B7E">
      <w:pPr>
        <w:pStyle w:val="Heading2"/>
        <w:spacing w:before="299" w:after="299"/>
      </w:pPr>
      <w:r w:rsidRPr="63506AAD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  <w:sz w:val="36"/>
          <w:szCs w:val="36"/>
        </w:rPr>
        <w:t>Section 2: Post-16 Pathways Available for Young People with SEND</w:t>
      </w:r>
    </w:p>
    <w:p w14:paraId="5D56C523" w14:textId="637EC606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There is </w:t>
      </w:r>
      <w:r w:rsidRPr="3C9C4B7E">
        <w:rPr>
          <w:rFonts w:ascii="Aptos" w:eastAsia="Aptos" w:hAnsi="Aptos" w:cs="Aptos"/>
          <w:b/>
          <w:bCs/>
        </w:rPr>
        <w:t>no single right path</w:t>
      </w:r>
      <w:r w:rsidRPr="3C9C4B7E">
        <w:rPr>
          <w:rFonts w:ascii="Aptos" w:eastAsia="Aptos" w:hAnsi="Aptos" w:cs="Aptos"/>
        </w:rPr>
        <w:t xml:space="preserve"> — your child’s goals, support needs, and preferences should shape the route they take.</w:t>
      </w:r>
    </w:p>
    <w:p w14:paraId="7261A1C4" w14:textId="277E6A2A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 xml:space="preserve"> 1. Further Education (FE) Colleges</w:t>
      </w:r>
    </w:p>
    <w:p w14:paraId="2D2A6856" w14:textId="5DF90733" w:rsidR="00F215DD" w:rsidRDefault="2BDF13F6" w:rsidP="3C9C4B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Offer academic, vocational, and life skills courses</w:t>
      </w:r>
    </w:p>
    <w:p w14:paraId="40C15B3A" w14:textId="56D01B5A" w:rsidR="00F215DD" w:rsidRDefault="2BDF13F6" w:rsidP="3C9C4B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Many have dedicated SEND departments or Inclusion Teams</w:t>
      </w:r>
    </w:p>
    <w:p w14:paraId="5294C8BE" w14:textId="07A03DE1" w:rsidR="00F215DD" w:rsidRDefault="2BDF13F6" w:rsidP="3C9C4B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EHCPs must still be delivered in full</w:t>
      </w:r>
    </w:p>
    <w:p w14:paraId="7C4DF781" w14:textId="46103785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>Courses include:</w:t>
      </w:r>
    </w:p>
    <w:p w14:paraId="306F82F9" w14:textId="169C713A" w:rsidR="00F215DD" w:rsidRDefault="2BDF13F6" w:rsidP="3C9C4B7E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Entry Level – Level 3 (GCSEs, A Levels, BTECs, Functional Skills)</w:t>
      </w:r>
    </w:p>
    <w:p w14:paraId="5618C49E" w14:textId="3BC37B13" w:rsidR="00F215DD" w:rsidRDefault="2BDF13F6" w:rsidP="3C9C4B7E">
      <w:pPr>
        <w:pStyle w:val="ListParagraph"/>
        <w:numPr>
          <w:ilvl w:val="0"/>
          <w:numId w:val="14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Supported learning or preparation for work/life courses</w:t>
      </w:r>
    </w:p>
    <w:p w14:paraId="4FC9CC19" w14:textId="1F8781BE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i/>
          <w:iCs/>
        </w:rPr>
        <w:t>Tip: Ask the college about their experience delivering EHCP provision and how they meet needs in a mainstream environment.</w:t>
      </w:r>
    </w:p>
    <w:p w14:paraId="389B902A" w14:textId="6199F777" w:rsidR="00F215DD" w:rsidRDefault="00F215DD"/>
    <w:p w14:paraId="5F56BF1A" w14:textId="586BAADE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 xml:space="preserve"> 2. Specialist Post-16 Institutions</w:t>
      </w:r>
    </w:p>
    <w:p w14:paraId="3F698A33" w14:textId="4DD3D2FE" w:rsidR="00F215DD" w:rsidRDefault="2BDF13F6" w:rsidP="3C9C4B7E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Specifically for students with SEND</w:t>
      </w:r>
    </w:p>
    <w:p w14:paraId="1078E41E" w14:textId="31A3C21F" w:rsidR="00F215DD" w:rsidRDefault="2BDF13F6" w:rsidP="3C9C4B7E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lastRenderedPageBreak/>
        <w:t>Smaller class sizes, specialist staff, and highly tailored curriculum</w:t>
      </w:r>
    </w:p>
    <w:p w14:paraId="60F3A993" w14:textId="503B0F88" w:rsidR="00F215DD" w:rsidRDefault="2BDF13F6" w:rsidP="3C9C4B7E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Can include independent specialist colleges (ISCs), often funded via EHCP</w:t>
      </w:r>
    </w:p>
    <w:p w14:paraId="5A053250" w14:textId="246B0B0C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  <w:i/>
          <w:iCs/>
        </w:rPr>
        <w:t>Note: You can request one of these be named in Section I of the EHCP, but your LA may need to agree to funding.</w:t>
      </w:r>
    </w:p>
    <w:p w14:paraId="2A35205B" w14:textId="579646AE" w:rsidR="00F215DD" w:rsidRDefault="00F215DD"/>
    <w:p w14:paraId="2134CF5D" w14:textId="48AFE919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</w:rPr>
        <w:t>3. Supported Internships</w:t>
      </w:r>
    </w:p>
    <w:p w14:paraId="00E780CD" w14:textId="4B8AB1A0" w:rsidR="00F215DD" w:rsidRDefault="2BDF13F6" w:rsidP="3C9C4B7E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For ages 16–24 with EHCPs</w:t>
      </w:r>
    </w:p>
    <w:p w14:paraId="7F8FFEBC" w14:textId="0EBD181F" w:rsidR="00F215DD" w:rsidRDefault="2BDF13F6" w:rsidP="3C9C4B7E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Combines work experience and skills training</w:t>
      </w:r>
    </w:p>
    <w:p w14:paraId="024FB1F7" w14:textId="197F5C5F" w:rsidR="00F215DD" w:rsidRDefault="2BDF13F6" w:rsidP="3C9C4B7E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Includes job coaching, transport support, and learning in a real-world setting</w:t>
      </w:r>
    </w:p>
    <w:p w14:paraId="78BD477D" w14:textId="25BA243C" w:rsidR="00F215DD" w:rsidRDefault="2BDF13F6" w:rsidP="3C9C4B7E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Internships are typically unpaid but lead to better chances of employment</w:t>
      </w:r>
    </w:p>
    <w:p w14:paraId="0EDD705A" w14:textId="6A1D1583" w:rsidR="00F215DD" w:rsidRDefault="00F215DD"/>
    <w:p w14:paraId="5613FA66" w14:textId="69CE957E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</w:rPr>
        <w:t>4. Traineeships &amp; Apprenticeships</w:t>
      </w:r>
    </w:p>
    <w:p w14:paraId="1528BA9F" w14:textId="3DD33C38" w:rsidR="00F215DD" w:rsidRDefault="2BDF13F6" w:rsidP="3C9C4B7E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Government-supported programmes for young people who are not yet ready for full employment</w:t>
      </w:r>
    </w:p>
    <w:p w14:paraId="21250C03" w14:textId="2F3AAF56" w:rsidR="00F215DD" w:rsidRDefault="2BDF13F6" w:rsidP="3C9C4B7E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Must still provide SEND support if the young person has an EHCP</w:t>
      </w:r>
    </w:p>
    <w:p w14:paraId="20618C57" w14:textId="675968BE" w:rsidR="00F215DD" w:rsidRDefault="2BDF13F6" w:rsidP="3C9C4B7E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Can include part-time study (e.g. one day per week at a college)</w:t>
      </w:r>
    </w:p>
    <w:p w14:paraId="77FE99AF" w14:textId="05726A2C" w:rsidR="00F215DD" w:rsidRDefault="00F215DD"/>
    <w:p w14:paraId="64727026" w14:textId="1C68D293" w:rsidR="00F215DD" w:rsidRDefault="2BDF13F6" w:rsidP="3C9C4B7E">
      <w:pPr>
        <w:pStyle w:val="Heading3"/>
        <w:spacing w:before="281" w:after="281"/>
      </w:pPr>
      <w:r w:rsidRPr="63506AAD">
        <w:rPr>
          <w:rFonts w:ascii="Aptos" w:eastAsia="Aptos" w:hAnsi="Aptos" w:cs="Aptos"/>
          <w:b/>
          <w:bCs/>
          <w:color w:val="A30F7E"/>
        </w:rPr>
        <w:t xml:space="preserve"> 5. Life Skills &amp; Independent Living Programmes</w:t>
      </w:r>
    </w:p>
    <w:p w14:paraId="5229C89F" w14:textId="603020FC" w:rsidR="00F215DD" w:rsidRDefault="2BDF13F6" w:rsidP="3C9C4B7E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Focus on social communication, daily living, and community participation</w:t>
      </w:r>
    </w:p>
    <w:p w14:paraId="661DA810" w14:textId="2124F2AE" w:rsidR="00F215DD" w:rsidRDefault="2BDF13F6" w:rsidP="3C9C4B7E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Delivered by colleges or specialist centres</w:t>
      </w:r>
    </w:p>
    <w:p w14:paraId="0C92A848" w14:textId="2BD237F5" w:rsidR="00F215DD" w:rsidRDefault="2BDF13F6" w:rsidP="3C9C4B7E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These should be fully reflected in the EHCP if they are part of the young person's outcomes</w:t>
      </w:r>
    </w:p>
    <w:p w14:paraId="43F4627B" w14:textId="62A83C15" w:rsidR="00F215DD" w:rsidRDefault="00F215DD"/>
    <w:p w14:paraId="2A0C3E31" w14:textId="0E018E08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</w:pPr>
      <w:r w:rsidRPr="63506AAD"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  <w:t>Section 3: What Happens to the EHCP After 16?</w:t>
      </w:r>
    </w:p>
    <w:p w14:paraId="21791555" w14:textId="36B9432F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The EHCP doesn’t stop — but </w:t>
      </w:r>
      <w:r w:rsidRPr="3C9C4B7E">
        <w:rPr>
          <w:rFonts w:ascii="Aptos" w:eastAsia="Aptos" w:hAnsi="Aptos" w:cs="Aptos"/>
          <w:b/>
          <w:bCs/>
        </w:rPr>
        <w:t>it must evolve</w:t>
      </w:r>
      <w:r w:rsidRPr="3C9C4B7E">
        <w:rPr>
          <w:rFonts w:ascii="Aptos" w:eastAsia="Aptos" w:hAnsi="Aptos" w:cs="Aptos"/>
        </w:rPr>
        <w:t xml:space="preserve"> to meet the young person’s changing needs.</w:t>
      </w:r>
    </w:p>
    <w:p w14:paraId="13ED0786" w14:textId="5AC16D12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</w:rPr>
        <w:lastRenderedPageBreak/>
        <w:t>A</w:t>
      </w:r>
      <w:r w:rsidRPr="63506AAD">
        <w:rPr>
          <w:rFonts w:ascii="Aptos" w:eastAsia="Aptos" w:hAnsi="Aptos" w:cs="Aptos"/>
          <w:b/>
          <w:bCs/>
          <w:color w:val="A30F7E"/>
        </w:rPr>
        <w:t>nnual Reviews Still Happen</w:t>
      </w:r>
    </w:p>
    <w:p w14:paraId="4D50197B" w14:textId="7BCCFD63" w:rsidR="00F215DD" w:rsidRDefault="2BDF13F6" w:rsidP="3C9C4B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3C9C4B7E">
        <w:rPr>
          <w:rFonts w:ascii="Aptos" w:eastAsia="Aptos" w:hAnsi="Aptos" w:cs="Aptos"/>
        </w:rPr>
        <w:t xml:space="preserve">You should have a </w:t>
      </w:r>
      <w:r w:rsidRPr="3C9C4B7E">
        <w:rPr>
          <w:rFonts w:ascii="Aptos" w:eastAsia="Aptos" w:hAnsi="Aptos" w:cs="Aptos"/>
          <w:b/>
          <w:bCs/>
        </w:rPr>
        <w:t>transition-focused review at Year 11</w:t>
      </w:r>
    </w:p>
    <w:p w14:paraId="3AE691C0" w14:textId="7C426196" w:rsidR="00F215DD" w:rsidRDefault="2BDF13F6" w:rsidP="3C9C4B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 xml:space="preserve">From then on, </w:t>
      </w:r>
      <w:r w:rsidRPr="3C9C4B7E">
        <w:rPr>
          <w:rFonts w:ascii="Aptos" w:eastAsia="Aptos" w:hAnsi="Aptos" w:cs="Aptos"/>
          <w:b/>
          <w:bCs/>
        </w:rPr>
        <w:t>every annual review must consider “Preparing for Adulthood”</w:t>
      </w:r>
      <w:r w:rsidR="008F3BFB">
        <w:br/>
      </w:r>
      <w:r w:rsidRPr="3C9C4B7E">
        <w:rPr>
          <w:rFonts w:ascii="Aptos" w:eastAsia="Aptos" w:hAnsi="Aptos" w:cs="Aptos"/>
        </w:rPr>
        <w:t xml:space="preserve"> (as per Chapter 8 of the SEND Code of Practice)</w:t>
      </w:r>
    </w:p>
    <w:p w14:paraId="7EA18A63" w14:textId="5D9251BF" w:rsidR="00F215DD" w:rsidRDefault="00F215DD"/>
    <w:p w14:paraId="3BA27815" w14:textId="4DC46AFE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 xml:space="preserve"> The EHCP Must Now Include:</w:t>
      </w:r>
    </w:p>
    <w:p w14:paraId="3D9FCAAB" w14:textId="27A5E71C" w:rsidR="00F215DD" w:rsidRDefault="2BDF13F6" w:rsidP="63506AAD">
      <w:pPr>
        <w:pStyle w:val="Heading4"/>
        <w:spacing w:before="319" w:after="319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>Section E – Outcomes:</w:t>
      </w:r>
    </w:p>
    <w:p w14:paraId="05A31EBB" w14:textId="0E657734" w:rsidR="00F215DD" w:rsidRDefault="2BDF13F6" w:rsidP="3C9C4B7E">
      <w:pPr>
        <w:pStyle w:val="ListParagraph"/>
        <w:numPr>
          <w:ilvl w:val="0"/>
          <w:numId w:val="1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Employment goals</w:t>
      </w:r>
    </w:p>
    <w:p w14:paraId="3BFDE8E9" w14:textId="048B6601" w:rsidR="00F215DD" w:rsidRDefault="2BDF13F6" w:rsidP="3C9C4B7E">
      <w:pPr>
        <w:pStyle w:val="ListParagraph"/>
        <w:numPr>
          <w:ilvl w:val="0"/>
          <w:numId w:val="1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Independent living skills</w:t>
      </w:r>
    </w:p>
    <w:p w14:paraId="7CEFCB57" w14:textId="65B2B45D" w:rsidR="00F215DD" w:rsidRDefault="2BDF13F6" w:rsidP="3C9C4B7E">
      <w:pPr>
        <w:pStyle w:val="ListParagraph"/>
        <w:numPr>
          <w:ilvl w:val="0"/>
          <w:numId w:val="1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Community participation</w:t>
      </w:r>
    </w:p>
    <w:p w14:paraId="56290FF8" w14:textId="1930C8C2" w:rsidR="00F215DD" w:rsidRDefault="2BDF13F6" w:rsidP="3C9C4B7E">
      <w:pPr>
        <w:pStyle w:val="ListParagraph"/>
        <w:numPr>
          <w:ilvl w:val="0"/>
          <w:numId w:val="1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Health and wellbeing</w:t>
      </w:r>
    </w:p>
    <w:p w14:paraId="018473F8" w14:textId="2FE75173" w:rsidR="00F215DD" w:rsidRDefault="2BDF13F6" w:rsidP="63506AAD">
      <w:pPr>
        <w:pStyle w:val="Heading4"/>
        <w:spacing w:before="319" w:after="319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>Section F – Provision:</w:t>
      </w:r>
    </w:p>
    <w:p w14:paraId="5F68B380" w14:textId="408CCFE4" w:rsidR="00F215DD" w:rsidRDefault="2BDF13F6" w:rsidP="3C9C4B7E">
      <w:pPr>
        <w:pStyle w:val="ListParagraph"/>
        <w:numPr>
          <w:ilvl w:val="0"/>
          <w:numId w:val="1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Support must reflect post-16 needs:</w:t>
      </w:r>
    </w:p>
    <w:p w14:paraId="0A50FF56" w14:textId="1C48EB64" w:rsidR="00F215DD" w:rsidRDefault="2BDF13F6" w:rsidP="3C9C4B7E">
      <w:pPr>
        <w:pStyle w:val="ListParagraph"/>
        <w:numPr>
          <w:ilvl w:val="1"/>
          <w:numId w:val="1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Travel training</w:t>
      </w:r>
    </w:p>
    <w:p w14:paraId="06D57F41" w14:textId="0B018E40" w:rsidR="00F215DD" w:rsidRDefault="2BDF13F6" w:rsidP="3C9C4B7E">
      <w:pPr>
        <w:pStyle w:val="ListParagraph"/>
        <w:numPr>
          <w:ilvl w:val="1"/>
          <w:numId w:val="1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Job coaching</w:t>
      </w:r>
    </w:p>
    <w:p w14:paraId="03C48794" w14:textId="5683B524" w:rsidR="00F215DD" w:rsidRDefault="2BDF13F6" w:rsidP="3C9C4B7E">
      <w:pPr>
        <w:pStyle w:val="ListParagraph"/>
        <w:numPr>
          <w:ilvl w:val="1"/>
          <w:numId w:val="1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Therapeutic input (e.g. SALT or OT)</w:t>
      </w:r>
    </w:p>
    <w:p w14:paraId="23CE563D" w14:textId="286C4544" w:rsidR="00F215DD" w:rsidRDefault="2BDF13F6" w:rsidP="63506AAD">
      <w:pPr>
        <w:pStyle w:val="ListParagraph"/>
        <w:numPr>
          <w:ilvl w:val="1"/>
          <w:numId w:val="13"/>
        </w:numPr>
        <w:spacing w:before="240" w:after="240"/>
        <w:rPr>
          <w:rFonts w:ascii="Aptos" w:eastAsia="Aptos" w:hAnsi="Aptos" w:cs="Aptos"/>
        </w:rPr>
      </w:pPr>
      <w:r w:rsidRPr="63506AAD">
        <w:rPr>
          <w:rFonts w:ascii="Aptos" w:eastAsia="Aptos" w:hAnsi="Aptos" w:cs="Aptos"/>
        </w:rPr>
        <w:t>1:1 support at college or work setting</w:t>
      </w:r>
    </w:p>
    <w:p w14:paraId="1BCBB4B0" w14:textId="3786CA5A" w:rsidR="00F215DD" w:rsidRDefault="00F215DD" w:rsidP="63506AAD">
      <w:pPr>
        <w:pStyle w:val="ListParagraph"/>
        <w:spacing w:before="240" w:after="240"/>
        <w:ind w:left="1440"/>
      </w:pPr>
    </w:p>
    <w:p w14:paraId="240D6A5E" w14:textId="6B7C6558" w:rsidR="00F215DD" w:rsidRDefault="2BDF13F6" w:rsidP="63506AAD">
      <w:pPr>
        <w:spacing w:before="240" w:after="240"/>
        <w:ind w:left="720"/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i/>
          <w:iCs/>
        </w:rPr>
        <w:t>Important: The provision must still be specific, detailed, and quantified — vague phrases like “access to support” are not lawful.</w:t>
      </w:r>
    </w:p>
    <w:p w14:paraId="693C2C9F" w14:textId="7E98D663" w:rsidR="00F215DD" w:rsidRDefault="00F215DD"/>
    <w:p w14:paraId="3710F363" w14:textId="5DFB73BF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</w:rPr>
      </w:pPr>
      <w:r w:rsidRPr="63506AAD">
        <w:rPr>
          <w:rFonts w:ascii="Aptos" w:eastAsia="Aptos" w:hAnsi="Aptos" w:cs="Aptos"/>
          <w:b/>
          <w:bCs/>
          <w:color w:val="A30F7E"/>
          <w:sz w:val="36"/>
          <w:szCs w:val="36"/>
        </w:rPr>
        <w:t>Section 4: Choosing and Naming a Post-16 Placement</w:t>
      </w:r>
    </w:p>
    <w:p w14:paraId="35B11A79" w14:textId="002B9F74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You have the right to request that a particular placement (college, sixth form, ISC, etc.) be </w:t>
      </w:r>
      <w:r w:rsidRPr="3C9C4B7E">
        <w:rPr>
          <w:rFonts w:ascii="Aptos" w:eastAsia="Aptos" w:hAnsi="Aptos" w:cs="Aptos"/>
          <w:b/>
          <w:bCs/>
        </w:rPr>
        <w:t>named in Section I of the EHCP</w:t>
      </w:r>
      <w:r w:rsidRPr="3C9C4B7E">
        <w:rPr>
          <w:rFonts w:ascii="Aptos" w:eastAsia="Aptos" w:hAnsi="Aptos" w:cs="Aptos"/>
        </w:rPr>
        <w:t>.</w:t>
      </w:r>
    </w:p>
    <w:p w14:paraId="400FFC18" w14:textId="03D001D3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 xml:space="preserve">The local authority </w:t>
      </w:r>
      <w:r w:rsidRPr="3C9C4B7E">
        <w:rPr>
          <w:rFonts w:ascii="Aptos" w:eastAsia="Aptos" w:hAnsi="Aptos" w:cs="Aptos"/>
          <w:b/>
          <w:bCs/>
        </w:rPr>
        <w:t>must agree</w:t>
      </w:r>
      <w:r w:rsidRPr="3C9C4B7E">
        <w:rPr>
          <w:rFonts w:ascii="Aptos" w:eastAsia="Aptos" w:hAnsi="Aptos" w:cs="Aptos"/>
        </w:rPr>
        <w:t xml:space="preserve"> to this unless they can prove that:</w:t>
      </w:r>
    </w:p>
    <w:p w14:paraId="6F18B232" w14:textId="636E59BD" w:rsidR="00F215DD" w:rsidRDefault="2BDF13F6" w:rsidP="3C9C4B7E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The placement is unsuitable, or</w:t>
      </w:r>
    </w:p>
    <w:p w14:paraId="1181845D" w14:textId="37974B70" w:rsidR="00F215DD" w:rsidRDefault="2BDF13F6" w:rsidP="3C9C4B7E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It would be an inefficient use of public funds</w:t>
      </w:r>
    </w:p>
    <w:p w14:paraId="5724FEE8" w14:textId="28644736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i/>
          <w:iCs/>
        </w:rPr>
        <w:t>You can appeal if they refuse to name your preferred placement.</w:t>
      </w:r>
    </w:p>
    <w:p w14:paraId="169BBF98" w14:textId="09168115" w:rsidR="00F215DD" w:rsidRDefault="00F215DD"/>
    <w:p w14:paraId="60A56552" w14:textId="30CF20C9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</w:rPr>
      </w:pPr>
      <w:r w:rsidRPr="63506AAD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  <w:sz w:val="36"/>
          <w:szCs w:val="36"/>
        </w:rPr>
        <w:t>Section 5: Common Issues Post-16 — and What to Do</w:t>
      </w:r>
    </w:p>
    <w:p w14:paraId="3D89EB33" w14:textId="34548E5E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  <w:color w:val="A30F7E"/>
        </w:rPr>
        <w:t xml:space="preserve"> Problem 1: “The college says they can’t meet the EHCP.”</w:t>
      </w:r>
    </w:p>
    <w:p w14:paraId="702011BA" w14:textId="7036062A" w:rsidR="00F215DD" w:rsidRDefault="2BDF13F6" w:rsidP="63506AAD">
      <w:pPr>
        <w:spacing w:before="240" w:after="240"/>
        <w:rPr>
          <w:rFonts w:ascii="Aptos" w:eastAsia="Aptos" w:hAnsi="Aptos" w:cs="Aptos"/>
        </w:rPr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b/>
          <w:bCs/>
        </w:rPr>
        <w:t>Action</w:t>
      </w:r>
      <w:r w:rsidRPr="63506AAD">
        <w:rPr>
          <w:rFonts w:ascii="Aptos" w:eastAsia="Aptos" w:hAnsi="Aptos" w:cs="Aptos"/>
        </w:rPr>
        <w:t xml:space="preserve">: Contact the LA and remind them that </w:t>
      </w:r>
      <w:r w:rsidRPr="63506AAD">
        <w:rPr>
          <w:rFonts w:ascii="Aptos" w:eastAsia="Aptos" w:hAnsi="Aptos" w:cs="Aptos"/>
          <w:b/>
          <w:bCs/>
        </w:rPr>
        <w:t>the duty to deliver Section F lies with the LA, not the setting.</w:t>
      </w:r>
      <w:r w:rsidRPr="63506AAD">
        <w:rPr>
          <w:rFonts w:ascii="Aptos" w:eastAsia="Aptos" w:hAnsi="Aptos" w:cs="Aptos"/>
        </w:rPr>
        <w:t xml:space="preserve"> The LA must find or fund appropriate support.</w:t>
      </w:r>
    </w:p>
    <w:p w14:paraId="5705F3E5" w14:textId="4591404D" w:rsidR="00F215DD" w:rsidRDefault="00F215DD"/>
    <w:p w14:paraId="23906224" w14:textId="335742BF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  <w:color w:val="A30F7E"/>
        </w:rPr>
      </w:pPr>
      <w:r w:rsidRPr="63506AAD">
        <w:rPr>
          <w:rFonts w:ascii="Aptos" w:eastAsia="Aptos" w:hAnsi="Aptos" w:cs="Aptos"/>
          <w:b/>
          <w:bCs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</w:rPr>
        <w:t>Problem 2: “The LA wants to cease the EHCP at 18.”</w:t>
      </w:r>
    </w:p>
    <w:p w14:paraId="5CD4F661" w14:textId="280BF7A0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b/>
          <w:bCs/>
        </w:rPr>
        <w:t>Action</w:t>
      </w:r>
      <w:r w:rsidRPr="63506AAD">
        <w:rPr>
          <w:rFonts w:ascii="Aptos" w:eastAsia="Aptos" w:hAnsi="Aptos" w:cs="Aptos"/>
        </w:rPr>
        <w:t>: Legally, the LA must provide evidence that:</w:t>
      </w:r>
    </w:p>
    <w:p w14:paraId="1F9A9EF3" w14:textId="73E34F36" w:rsidR="00F215DD" w:rsidRDefault="2BDF13F6" w:rsidP="3C9C4B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The young person has achieved their outcomes, or</w:t>
      </w:r>
    </w:p>
    <w:p w14:paraId="3E59A866" w14:textId="7432E9E7" w:rsidR="00F215DD" w:rsidRDefault="2BDF13F6" w:rsidP="3C9C4B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Education or training is no longer necessary</w:t>
      </w:r>
    </w:p>
    <w:p w14:paraId="42D4AB0C" w14:textId="79633A72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</w:rPr>
        <w:t xml:space="preserve"> You have the right to appeal this decision via SENDIST.</w:t>
      </w:r>
    </w:p>
    <w:p w14:paraId="569419E1" w14:textId="7F2F1ECE" w:rsidR="00F215DD" w:rsidRDefault="00F215DD"/>
    <w:p w14:paraId="61FD5A44" w14:textId="14CE619A" w:rsidR="00F215DD" w:rsidRDefault="2BDF13F6" w:rsidP="63506AAD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 w:rsidRPr="63506AAD">
        <w:rPr>
          <w:rFonts w:ascii="Aptos" w:eastAsia="Aptos" w:hAnsi="Aptos" w:cs="Aptos"/>
          <w:b/>
          <w:bCs/>
        </w:rPr>
        <w:t xml:space="preserve"> </w:t>
      </w:r>
      <w:r w:rsidRPr="63506AAD">
        <w:rPr>
          <w:rFonts w:ascii="Aptos" w:eastAsia="Aptos" w:hAnsi="Aptos" w:cs="Aptos"/>
          <w:b/>
          <w:bCs/>
          <w:color w:val="A30F7E"/>
        </w:rPr>
        <w:t>Problem 3: “There’s no ‘Preparing for Adulthood’ in the EHCP.”</w:t>
      </w:r>
    </w:p>
    <w:p w14:paraId="7AE9BEBA" w14:textId="103C5187" w:rsidR="00F215DD" w:rsidRDefault="2BDF13F6" w:rsidP="3C9C4B7E">
      <w:pPr>
        <w:spacing w:before="240" w:after="240"/>
      </w:pPr>
      <w:r w:rsidRPr="63506AAD">
        <w:rPr>
          <w:rFonts w:ascii="Aptos" w:eastAsia="Aptos" w:hAnsi="Aptos" w:cs="Aptos"/>
          <w:b/>
          <w:bCs/>
        </w:rPr>
        <w:t>Action</w:t>
      </w:r>
      <w:r w:rsidRPr="63506AAD">
        <w:rPr>
          <w:rFonts w:ascii="Aptos" w:eastAsia="Aptos" w:hAnsi="Aptos" w:cs="Aptos"/>
        </w:rPr>
        <w:t>: Use the annual review to update Section E and F. Refer to Chapter 8 of the Code of Practice and request outcomes in each adulthood area.</w:t>
      </w:r>
    </w:p>
    <w:p w14:paraId="2BA74C8F" w14:textId="2FEE441C" w:rsidR="00F215DD" w:rsidRDefault="00F215DD"/>
    <w:p w14:paraId="1A405118" w14:textId="441D1467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</w:rPr>
      </w:pPr>
      <w:r w:rsidRPr="63506AAD">
        <w:rPr>
          <w:rFonts w:ascii="Aptos" w:eastAsia="Aptos" w:hAnsi="Aptos" w:cs="Aptos"/>
          <w:b/>
          <w:bCs/>
          <w:color w:val="A30F7E"/>
          <w:sz w:val="36"/>
          <w:szCs w:val="36"/>
        </w:rPr>
        <w:t xml:space="preserve"> Section 6: Timeline – What to Do and When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6970"/>
      </w:tblGrid>
      <w:tr w:rsidR="3C9C4B7E" w14:paraId="7C491641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23D9D277" w14:textId="35CA7CEC" w:rsidR="3C9C4B7E" w:rsidRDefault="3C9C4B7E" w:rsidP="3C9C4B7E">
            <w:pPr>
              <w:spacing w:after="0"/>
              <w:jc w:val="center"/>
            </w:pPr>
            <w:r w:rsidRPr="3C9C4B7E">
              <w:rPr>
                <w:b/>
                <w:bCs/>
              </w:rPr>
              <w:t>Age</w:t>
            </w:r>
          </w:p>
        </w:tc>
        <w:tc>
          <w:tcPr>
            <w:tcW w:w="6970" w:type="dxa"/>
            <w:vAlign w:val="center"/>
          </w:tcPr>
          <w:p w14:paraId="4B1AF69E" w14:textId="2F5D918D" w:rsidR="3C9C4B7E" w:rsidRDefault="3C9C4B7E" w:rsidP="3C9C4B7E">
            <w:pPr>
              <w:spacing w:after="0"/>
              <w:jc w:val="center"/>
            </w:pPr>
            <w:r w:rsidRPr="3C9C4B7E">
              <w:rPr>
                <w:b/>
                <w:bCs/>
              </w:rPr>
              <w:t>What to Focus On</w:t>
            </w:r>
          </w:p>
        </w:tc>
      </w:tr>
      <w:tr w:rsidR="3C9C4B7E" w14:paraId="10DBDB7D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0BD6537C" w14:textId="5C5CAB9F" w:rsidR="3C9C4B7E" w:rsidRDefault="3C9C4B7E" w:rsidP="3C9C4B7E">
            <w:pPr>
              <w:spacing w:after="0"/>
            </w:pPr>
            <w:r>
              <w:t>13–14</w:t>
            </w:r>
          </w:p>
        </w:tc>
        <w:tc>
          <w:tcPr>
            <w:tcW w:w="6970" w:type="dxa"/>
            <w:vAlign w:val="center"/>
          </w:tcPr>
          <w:p w14:paraId="41959674" w14:textId="0AF8EDC0" w:rsidR="3C9C4B7E" w:rsidRDefault="3C9C4B7E" w:rsidP="3C9C4B7E">
            <w:pPr>
              <w:spacing w:after="0"/>
            </w:pPr>
            <w:r>
              <w:t>Start “Preparing for Adulthood” planning at annual review</w:t>
            </w:r>
          </w:p>
        </w:tc>
      </w:tr>
      <w:tr w:rsidR="3C9C4B7E" w14:paraId="1A29C7EE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61FDBB01" w14:textId="2ABB86CD" w:rsidR="3C9C4B7E" w:rsidRDefault="3C9C4B7E" w:rsidP="3C9C4B7E">
            <w:pPr>
              <w:spacing w:after="0"/>
            </w:pPr>
            <w:r>
              <w:t>15</w:t>
            </w:r>
          </w:p>
        </w:tc>
        <w:tc>
          <w:tcPr>
            <w:tcW w:w="6970" w:type="dxa"/>
            <w:vAlign w:val="center"/>
          </w:tcPr>
          <w:p w14:paraId="65F424FA" w14:textId="0C10D5DE" w:rsidR="3C9C4B7E" w:rsidRDefault="3C9C4B7E" w:rsidP="3C9C4B7E">
            <w:pPr>
              <w:spacing w:after="0"/>
            </w:pPr>
            <w:r>
              <w:t>Explore post-16 options; visit open days</w:t>
            </w:r>
          </w:p>
        </w:tc>
      </w:tr>
      <w:tr w:rsidR="3C9C4B7E" w14:paraId="33F37772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7DC6F970" w14:textId="2AA0EEF7" w:rsidR="3C9C4B7E" w:rsidRDefault="3C9C4B7E" w:rsidP="3C9C4B7E">
            <w:pPr>
              <w:spacing w:after="0"/>
            </w:pPr>
            <w:r>
              <w:t>16</w:t>
            </w:r>
          </w:p>
        </w:tc>
        <w:tc>
          <w:tcPr>
            <w:tcW w:w="6970" w:type="dxa"/>
            <w:vAlign w:val="center"/>
          </w:tcPr>
          <w:p w14:paraId="6202A6FA" w14:textId="16EF0A3E" w:rsidR="3C9C4B7E" w:rsidRDefault="330CC2F6" w:rsidP="3C9C4B7E">
            <w:pPr>
              <w:spacing w:after="0"/>
            </w:pPr>
            <w:r>
              <w:t>EHCP becomes young person’s legal doc</w:t>
            </w:r>
            <w:r w:rsidR="28491355">
              <w:t>ument</w:t>
            </w:r>
            <w:r>
              <w:t>; name next placement</w:t>
            </w:r>
          </w:p>
        </w:tc>
      </w:tr>
      <w:tr w:rsidR="3C9C4B7E" w14:paraId="3A65E728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04315CC7" w14:textId="7C39151B" w:rsidR="3C9C4B7E" w:rsidRDefault="3C9C4B7E" w:rsidP="3C9C4B7E">
            <w:pPr>
              <w:spacing w:after="0"/>
            </w:pPr>
            <w:r>
              <w:t>17–19</w:t>
            </w:r>
          </w:p>
        </w:tc>
        <w:tc>
          <w:tcPr>
            <w:tcW w:w="6970" w:type="dxa"/>
            <w:vAlign w:val="center"/>
          </w:tcPr>
          <w:p w14:paraId="7ECFE829" w14:textId="7D0B97E9" w:rsidR="3C9C4B7E" w:rsidRDefault="3C9C4B7E" w:rsidP="3C9C4B7E">
            <w:pPr>
              <w:spacing w:after="0"/>
            </w:pPr>
            <w:r>
              <w:t>Continue annual reviews; update provision as needed</w:t>
            </w:r>
          </w:p>
        </w:tc>
      </w:tr>
      <w:tr w:rsidR="3C9C4B7E" w14:paraId="44D7619A" w14:textId="77777777" w:rsidTr="63506AAD">
        <w:trPr>
          <w:trHeight w:val="300"/>
        </w:trPr>
        <w:tc>
          <w:tcPr>
            <w:tcW w:w="900" w:type="dxa"/>
            <w:vAlign w:val="center"/>
          </w:tcPr>
          <w:p w14:paraId="48AEA05A" w14:textId="12E0D801" w:rsidR="3C9C4B7E" w:rsidRDefault="3C9C4B7E" w:rsidP="3C9C4B7E">
            <w:pPr>
              <w:spacing w:after="0"/>
            </w:pPr>
            <w:r>
              <w:t>20–25</w:t>
            </w:r>
          </w:p>
        </w:tc>
        <w:tc>
          <w:tcPr>
            <w:tcW w:w="6970" w:type="dxa"/>
            <w:vAlign w:val="center"/>
          </w:tcPr>
          <w:p w14:paraId="27AD75C5" w14:textId="565FB80D" w:rsidR="3C9C4B7E" w:rsidRDefault="3C9C4B7E" w:rsidP="3C9C4B7E">
            <w:pPr>
              <w:spacing w:after="0"/>
            </w:pPr>
            <w:r>
              <w:t>EHCP can continue if in education/training and outcomes not yet met</w:t>
            </w:r>
          </w:p>
        </w:tc>
      </w:tr>
    </w:tbl>
    <w:p w14:paraId="655DA122" w14:textId="690CE9B4" w:rsidR="00F215DD" w:rsidRDefault="00F215DD"/>
    <w:p w14:paraId="5F9A4824" w14:textId="783A0B46" w:rsidR="00F215DD" w:rsidRDefault="2BDF13F6" w:rsidP="3C9C4B7E">
      <w:pPr>
        <w:pStyle w:val="Heading2"/>
        <w:spacing w:before="299" w:after="299"/>
      </w:pPr>
      <w:r w:rsidRPr="63506AAD">
        <w:rPr>
          <w:rFonts w:ascii="Aptos" w:eastAsia="Aptos" w:hAnsi="Aptos" w:cs="Aptos"/>
          <w:b/>
          <w:bCs/>
          <w:sz w:val="36"/>
          <w:szCs w:val="36"/>
        </w:rPr>
        <w:lastRenderedPageBreak/>
        <w:t xml:space="preserve"> </w:t>
      </w:r>
      <w:r w:rsidRPr="63506AAD"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  <w:t>Final Advice for Parents &amp; Carers</w:t>
      </w:r>
    </w:p>
    <w:p w14:paraId="69EC1CA7" w14:textId="2A2BA2A2" w:rsidR="00F215DD" w:rsidRDefault="2BDF13F6" w:rsidP="3C9C4B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  <w:b/>
          <w:bCs/>
        </w:rPr>
        <w:t>Start early</w:t>
      </w:r>
      <w:r w:rsidRPr="3C9C4B7E">
        <w:rPr>
          <w:rFonts w:ascii="Aptos" w:eastAsia="Aptos" w:hAnsi="Aptos" w:cs="Aptos"/>
        </w:rPr>
        <w:t>: Begin exploring options at least a year before any transition</w:t>
      </w:r>
    </w:p>
    <w:p w14:paraId="3B7C4413" w14:textId="4DEC6AD9" w:rsidR="00F215DD" w:rsidRDefault="2BDF13F6" w:rsidP="3C9C4B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  <w:b/>
          <w:bCs/>
        </w:rPr>
        <w:t>Involve your child</w:t>
      </w:r>
      <w:r w:rsidRPr="3C9C4B7E">
        <w:rPr>
          <w:rFonts w:ascii="Aptos" w:eastAsia="Aptos" w:hAnsi="Aptos" w:cs="Aptos"/>
        </w:rPr>
        <w:t>: Their views matter and must be included in reviews</w:t>
      </w:r>
    </w:p>
    <w:p w14:paraId="71CEFA5D" w14:textId="64901D5B" w:rsidR="00F215DD" w:rsidRDefault="2BDF13F6" w:rsidP="3C9C4B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  <w:b/>
          <w:bCs/>
        </w:rPr>
        <w:t>Document everything</w:t>
      </w:r>
      <w:r w:rsidRPr="3C9C4B7E">
        <w:rPr>
          <w:rFonts w:ascii="Aptos" w:eastAsia="Aptos" w:hAnsi="Aptos" w:cs="Aptos"/>
        </w:rPr>
        <w:t>: Always keep copies of reports, emails, and review paperwork</w:t>
      </w:r>
    </w:p>
    <w:p w14:paraId="6ABCDEE9" w14:textId="20D487FD" w:rsidR="00F215DD" w:rsidRDefault="2BDF13F6" w:rsidP="3C9C4B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  <w:b/>
          <w:bCs/>
        </w:rPr>
        <w:t>Challenge decisions</w:t>
      </w:r>
      <w:r w:rsidRPr="3C9C4B7E">
        <w:rPr>
          <w:rFonts w:ascii="Aptos" w:eastAsia="Aptos" w:hAnsi="Aptos" w:cs="Aptos"/>
        </w:rPr>
        <w:t>: You can appeal refusals, cease notices, or unsuitable provision</w:t>
      </w:r>
    </w:p>
    <w:p w14:paraId="01988E0F" w14:textId="471C26CD" w:rsidR="00F215DD" w:rsidRDefault="00F215DD"/>
    <w:p w14:paraId="497CD74C" w14:textId="1F3FDA52" w:rsidR="00F215DD" w:rsidRDefault="2BDF13F6" w:rsidP="63506AAD">
      <w:pPr>
        <w:pStyle w:val="Heading2"/>
        <w:spacing w:before="299" w:after="299"/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</w:pPr>
      <w:r w:rsidRPr="63506AAD">
        <w:rPr>
          <w:rFonts w:ascii="Aptos" w:eastAsia="Aptos" w:hAnsi="Aptos" w:cs="Aptos"/>
          <w:b/>
          <w:bCs/>
          <w:color w:val="A30F7E"/>
          <w:sz w:val="36"/>
          <w:szCs w:val="36"/>
          <w:u w:val="single"/>
        </w:rPr>
        <w:t>How SEND Empowerment Advocacy Can Help</w:t>
      </w:r>
    </w:p>
    <w:p w14:paraId="0FE31470" w14:textId="77928E99" w:rsidR="00F215DD" w:rsidRDefault="2BDF13F6" w:rsidP="3C9C4B7E">
      <w:pPr>
        <w:spacing w:before="240" w:after="240"/>
      </w:pPr>
      <w:r w:rsidRPr="3C9C4B7E">
        <w:rPr>
          <w:rFonts w:ascii="Aptos" w:eastAsia="Aptos" w:hAnsi="Aptos" w:cs="Aptos"/>
        </w:rPr>
        <w:t>We offer:</w:t>
      </w:r>
    </w:p>
    <w:p w14:paraId="3AADDBD6" w14:textId="0DD245E6" w:rsidR="00F215DD" w:rsidRDefault="2BDF13F6" w:rsidP="3C9C4B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Guidance on post-16 EHCP updates</w:t>
      </w:r>
    </w:p>
    <w:p w14:paraId="703866EA" w14:textId="11A47E75" w:rsidR="00F215DD" w:rsidRDefault="2BDF13F6" w:rsidP="3C9C4B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Review of draft or final plans</w:t>
      </w:r>
    </w:p>
    <w:p w14:paraId="535DFF96" w14:textId="689C7295" w:rsidR="00F215DD" w:rsidRDefault="2BDF13F6" w:rsidP="3C9C4B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Help understanding legal rights</w:t>
      </w:r>
    </w:p>
    <w:p w14:paraId="4989F4A9" w14:textId="6D16CAE1" w:rsidR="00F215DD" w:rsidRDefault="2BDF13F6" w:rsidP="3C9C4B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3C9C4B7E">
        <w:rPr>
          <w:rFonts w:ascii="Aptos" w:eastAsia="Aptos" w:hAnsi="Aptos" w:cs="Aptos"/>
        </w:rPr>
        <w:t>Support with appeals, complaints, or mediation</w:t>
      </w:r>
    </w:p>
    <w:p w14:paraId="6A0667E2" w14:textId="295847FB" w:rsidR="00F215DD" w:rsidRDefault="2BDF13F6" w:rsidP="63506AAD">
      <w:pPr>
        <w:spacing w:before="240" w:after="240"/>
        <w:rPr>
          <w:rFonts w:ascii="Aptos" w:eastAsia="Aptos" w:hAnsi="Aptos" w:cs="Aptos"/>
        </w:rPr>
      </w:pPr>
      <w:r w:rsidRPr="63506AAD">
        <w:rPr>
          <w:rFonts w:ascii="Aptos" w:eastAsia="Aptos" w:hAnsi="Aptos" w:cs="Aptos"/>
        </w:rPr>
        <w:t xml:space="preserve"> </w:t>
      </w:r>
      <w:r w:rsidRPr="63506AAD">
        <w:rPr>
          <w:rFonts w:ascii="Aptos" w:eastAsia="Aptos" w:hAnsi="Aptos" w:cs="Aptos"/>
          <w:b/>
          <w:bCs/>
        </w:rPr>
        <w:t>Contact us</w:t>
      </w:r>
      <w:r w:rsidRPr="63506AAD">
        <w:rPr>
          <w:rFonts w:ascii="Aptos" w:eastAsia="Aptos" w:hAnsi="Aptos" w:cs="Aptos"/>
        </w:rPr>
        <w:t xml:space="preserve"> today if you're unsure about the next step — you don’t have to do this alone.</w:t>
      </w:r>
      <w:r w:rsidR="712DF274" w:rsidRPr="63506AAD">
        <w:rPr>
          <w:rFonts w:ascii="Aptos" w:eastAsia="Aptos" w:hAnsi="Aptos" w:cs="Aptos"/>
        </w:rPr>
        <w:t xml:space="preserve"> </w:t>
      </w:r>
    </w:p>
    <w:p w14:paraId="7E4CC14B" w14:textId="7D8B2D45" w:rsidR="00F215DD" w:rsidRDefault="712DF274" w:rsidP="63506AAD">
      <w:pPr>
        <w:spacing w:before="240" w:after="240"/>
        <w:rPr>
          <w:rFonts w:ascii="Aptos" w:eastAsia="Aptos" w:hAnsi="Aptos" w:cs="Aptos"/>
        </w:rPr>
      </w:pPr>
      <w:hyperlink r:id="rId6">
        <w:r w:rsidRPr="63506AAD">
          <w:rPr>
            <w:rStyle w:val="Hyperlink"/>
            <w:rFonts w:ascii="Aptos" w:eastAsia="Aptos" w:hAnsi="Aptos" w:cs="Aptos"/>
          </w:rPr>
          <w:t>Info@send-empowerment.co.uk</w:t>
        </w:r>
      </w:hyperlink>
    </w:p>
    <w:p w14:paraId="2BC7E1CD" w14:textId="7A68650C" w:rsidR="712DF274" w:rsidRDefault="712DF274" w:rsidP="63506AAD">
      <w:pPr>
        <w:spacing w:before="240" w:after="240"/>
        <w:rPr>
          <w:rFonts w:ascii="Aptos" w:eastAsia="Aptos" w:hAnsi="Aptos" w:cs="Aptos"/>
        </w:rPr>
      </w:pPr>
      <w:hyperlink r:id="rId7">
        <w:r w:rsidRPr="63506AAD">
          <w:rPr>
            <w:rStyle w:val="Hyperlink"/>
            <w:rFonts w:ascii="Aptos" w:eastAsia="Aptos" w:hAnsi="Aptos" w:cs="Aptos"/>
          </w:rPr>
          <w:t>www.send-empowerment.co.uk</w:t>
        </w:r>
      </w:hyperlink>
    </w:p>
    <w:p w14:paraId="2B7BF17E" w14:textId="51EF6D2C" w:rsidR="712DF274" w:rsidRDefault="712DF274" w:rsidP="63506AAD">
      <w:pPr>
        <w:spacing w:before="240" w:after="240"/>
        <w:rPr>
          <w:rFonts w:ascii="Aptos" w:eastAsia="Aptos" w:hAnsi="Aptos" w:cs="Aptos"/>
        </w:rPr>
      </w:pPr>
      <w:r w:rsidRPr="63506AAD">
        <w:rPr>
          <w:rFonts w:ascii="Aptos" w:eastAsia="Aptos" w:hAnsi="Aptos" w:cs="Aptos"/>
        </w:rPr>
        <w:t>07354 731467</w:t>
      </w:r>
    </w:p>
    <w:p w14:paraId="5E5787A5" w14:textId="490FA03C" w:rsidR="00F215DD" w:rsidRDefault="00F215DD"/>
    <w:sectPr w:rsidR="00F21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B273"/>
    <w:multiLevelType w:val="hybridMultilevel"/>
    <w:tmpl w:val="FFFFFFFF"/>
    <w:lvl w:ilvl="0" w:tplc="A698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29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46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5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E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4F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D4D9"/>
    <w:multiLevelType w:val="hybridMultilevel"/>
    <w:tmpl w:val="FFFFFFFF"/>
    <w:lvl w:ilvl="0" w:tplc="9462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A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6A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F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E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F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24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C2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DF9"/>
    <w:multiLevelType w:val="hybridMultilevel"/>
    <w:tmpl w:val="FFFFFFFF"/>
    <w:lvl w:ilvl="0" w:tplc="FAFE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AD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E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2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3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E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83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F64C"/>
    <w:multiLevelType w:val="hybridMultilevel"/>
    <w:tmpl w:val="FFFFFFFF"/>
    <w:lvl w:ilvl="0" w:tplc="A594A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0F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8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1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3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9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F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CD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3463"/>
    <w:multiLevelType w:val="hybridMultilevel"/>
    <w:tmpl w:val="FFFFFFFF"/>
    <w:lvl w:ilvl="0" w:tplc="9D6E3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0C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F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CA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CE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89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D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48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3A3"/>
    <w:multiLevelType w:val="hybridMultilevel"/>
    <w:tmpl w:val="FFFFFFFF"/>
    <w:lvl w:ilvl="0" w:tplc="960E4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A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9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E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E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6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7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6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8022"/>
    <w:multiLevelType w:val="hybridMultilevel"/>
    <w:tmpl w:val="FFFFFFFF"/>
    <w:lvl w:ilvl="0" w:tplc="73D09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A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23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5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0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6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0A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4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A6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5C6"/>
    <w:multiLevelType w:val="hybridMultilevel"/>
    <w:tmpl w:val="FFFFFFFF"/>
    <w:lvl w:ilvl="0" w:tplc="AA0A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20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0F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C2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E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A1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00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2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F67AF"/>
    <w:multiLevelType w:val="hybridMultilevel"/>
    <w:tmpl w:val="FFFFFFFF"/>
    <w:lvl w:ilvl="0" w:tplc="D6A06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2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C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A7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A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2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A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C7E7"/>
    <w:multiLevelType w:val="hybridMultilevel"/>
    <w:tmpl w:val="FFFFFFFF"/>
    <w:lvl w:ilvl="0" w:tplc="A83E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2B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E1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0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2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E8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6C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6A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A5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20AE2"/>
    <w:multiLevelType w:val="hybridMultilevel"/>
    <w:tmpl w:val="FFFFFFFF"/>
    <w:lvl w:ilvl="0" w:tplc="D99CC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CA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2E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C7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8C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A1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E2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8ADD3"/>
    <w:multiLevelType w:val="hybridMultilevel"/>
    <w:tmpl w:val="FFFFFFFF"/>
    <w:lvl w:ilvl="0" w:tplc="0E2C2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B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D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C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4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AC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2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5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8B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CC9B"/>
    <w:multiLevelType w:val="hybridMultilevel"/>
    <w:tmpl w:val="FFFFFFFF"/>
    <w:lvl w:ilvl="0" w:tplc="4320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8F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4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F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C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06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CF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6A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BBDF"/>
    <w:multiLevelType w:val="hybridMultilevel"/>
    <w:tmpl w:val="FFFFFFFF"/>
    <w:lvl w:ilvl="0" w:tplc="FA52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2E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CF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2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EB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09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66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C7F1E"/>
    <w:multiLevelType w:val="hybridMultilevel"/>
    <w:tmpl w:val="FFFFFFFF"/>
    <w:lvl w:ilvl="0" w:tplc="09660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4C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C7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8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1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64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8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88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E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66946"/>
    <w:multiLevelType w:val="hybridMultilevel"/>
    <w:tmpl w:val="FFFFFFFF"/>
    <w:lvl w:ilvl="0" w:tplc="2710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60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2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1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C1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7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B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253E"/>
    <w:multiLevelType w:val="hybridMultilevel"/>
    <w:tmpl w:val="FFFFFFFF"/>
    <w:lvl w:ilvl="0" w:tplc="CD663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1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67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C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87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2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69468">
    <w:abstractNumId w:val="10"/>
  </w:num>
  <w:num w:numId="2" w16cid:durableId="109394894">
    <w:abstractNumId w:val="16"/>
  </w:num>
  <w:num w:numId="3" w16cid:durableId="1139150670">
    <w:abstractNumId w:val="1"/>
  </w:num>
  <w:num w:numId="4" w16cid:durableId="1226448550">
    <w:abstractNumId w:val="4"/>
  </w:num>
  <w:num w:numId="5" w16cid:durableId="1310750185">
    <w:abstractNumId w:val="13"/>
  </w:num>
  <w:num w:numId="6" w16cid:durableId="1510488129">
    <w:abstractNumId w:val="11"/>
  </w:num>
  <w:num w:numId="7" w16cid:durableId="1539784241">
    <w:abstractNumId w:val="0"/>
  </w:num>
  <w:num w:numId="8" w16cid:durableId="1651403271">
    <w:abstractNumId w:val="14"/>
  </w:num>
  <w:num w:numId="9" w16cid:durableId="1769079809">
    <w:abstractNumId w:val="6"/>
  </w:num>
  <w:num w:numId="10" w16cid:durableId="1823040601">
    <w:abstractNumId w:val="5"/>
  </w:num>
  <w:num w:numId="11" w16cid:durableId="1826703965">
    <w:abstractNumId w:val="8"/>
  </w:num>
  <w:num w:numId="12" w16cid:durableId="1829789526">
    <w:abstractNumId w:val="2"/>
  </w:num>
  <w:num w:numId="13" w16cid:durableId="1969160484">
    <w:abstractNumId w:val="12"/>
  </w:num>
  <w:num w:numId="14" w16cid:durableId="379016825">
    <w:abstractNumId w:val="3"/>
  </w:num>
  <w:num w:numId="15" w16cid:durableId="516432484">
    <w:abstractNumId w:val="7"/>
  </w:num>
  <w:num w:numId="16" w16cid:durableId="83649222">
    <w:abstractNumId w:val="15"/>
  </w:num>
  <w:num w:numId="17" w16cid:durableId="989405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8DDF51"/>
    <w:rsid w:val="00100175"/>
    <w:rsid w:val="008F3BFB"/>
    <w:rsid w:val="00EA39D1"/>
    <w:rsid w:val="00F215DD"/>
    <w:rsid w:val="0C0779FF"/>
    <w:rsid w:val="1C8DDF51"/>
    <w:rsid w:val="28491355"/>
    <w:rsid w:val="2B044A01"/>
    <w:rsid w:val="2BDF13F6"/>
    <w:rsid w:val="330CC2F6"/>
    <w:rsid w:val="33FA376A"/>
    <w:rsid w:val="388CD8CD"/>
    <w:rsid w:val="390522F8"/>
    <w:rsid w:val="3C9C4B7E"/>
    <w:rsid w:val="3DDDA8E0"/>
    <w:rsid w:val="44633870"/>
    <w:rsid w:val="56789AC8"/>
    <w:rsid w:val="57263772"/>
    <w:rsid w:val="5F6E4F83"/>
    <w:rsid w:val="63506AAD"/>
    <w:rsid w:val="687C4956"/>
    <w:rsid w:val="712DF274"/>
    <w:rsid w:val="73B24C7C"/>
    <w:rsid w:val="7594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DF51"/>
  <w15:chartTrackingRefBased/>
  <w15:docId w15:val="{A92F526D-8A95-4338-AF16-44608D39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C9C4B7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63506AA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d-empowermen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nd-empowermen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Harvey</dc:creator>
  <cp:keywords/>
  <dc:description/>
  <cp:lastModifiedBy>Marnie Harvey</cp:lastModifiedBy>
  <cp:revision>2</cp:revision>
  <dcterms:created xsi:type="dcterms:W3CDTF">2025-06-22T10:46:00Z</dcterms:created>
  <dcterms:modified xsi:type="dcterms:W3CDTF">2025-06-22T10:46:00Z</dcterms:modified>
</cp:coreProperties>
</file>