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C2D7" w14:textId="74FCF305" w:rsidR="00306A30" w:rsidRPr="00306A30" w:rsidRDefault="00306A30" w:rsidP="00306A30">
      <w:pPr>
        <w:jc w:val="center"/>
        <w:rPr>
          <w:b/>
          <w:bCs/>
          <w:color w:val="AE2261"/>
          <w:sz w:val="32"/>
          <w:szCs w:val="32"/>
          <w:u w:val="single"/>
        </w:rPr>
      </w:pPr>
      <w:r w:rsidRPr="00306A30">
        <w:rPr>
          <w:b/>
          <w:bCs/>
          <w:i/>
          <w:iCs/>
          <w:noProof/>
          <w:color w:val="AE2261"/>
        </w:rPr>
        <w:drawing>
          <wp:anchor distT="0" distB="0" distL="114300" distR="114300" simplePos="0" relativeHeight="251658240" behindDoc="1" locked="0" layoutInCell="1" allowOverlap="1" wp14:anchorId="5F8B05A5" wp14:editId="1A61DBA4">
            <wp:simplePos x="0" y="0"/>
            <wp:positionH relativeFrom="margin">
              <wp:posOffset>4922520</wp:posOffset>
            </wp:positionH>
            <wp:positionV relativeFrom="margin">
              <wp:posOffset>-480060</wp:posOffset>
            </wp:positionV>
            <wp:extent cx="1150620" cy="1145540"/>
            <wp:effectExtent l="0" t="0" r="0" b="0"/>
            <wp:wrapSquare wrapText="bothSides"/>
            <wp:docPr id="180655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56324" name="Picture 18065563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0620" cy="1145540"/>
                    </a:xfrm>
                    <a:prstGeom prst="rect">
                      <a:avLst/>
                    </a:prstGeom>
                  </pic:spPr>
                </pic:pic>
              </a:graphicData>
            </a:graphic>
          </wp:anchor>
        </w:drawing>
      </w:r>
      <w:r w:rsidRPr="00306A30">
        <w:rPr>
          <w:b/>
          <w:bCs/>
          <w:color w:val="AE2261"/>
          <w:sz w:val="32"/>
          <w:szCs w:val="32"/>
          <w:u w:val="single"/>
        </w:rPr>
        <w:t>Attendance, EBSA &amp; Legal Rights</w:t>
      </w:r>
    </w:p>
    <w:p w14:paraId="5ADB30AE" w14:textId="77777777" w:rsidR="00306A30" w:rsidRDefault="00306A30" w:rsidP="00306A30">
      <w:pPr>
        <w:jc w:val="center"/>
        <w:rPr>
          <w:b/>
          <w:bCs/>
          <w:i/>
          <w:iCs/>
          <w:color w:val="AE2261"/>
        </w:rPr>
      </w:pPr>
      <w:r w:rsidRPr="00306A30">
        <w:rPr>
          <w:b/>
          <w:bCs/>
          <w:i/>
          <w:iCs/>
          <w:color w:val="AE2261"/>
        </w:rPr>
        <w:t>Parent Guide &amp; Practical Toolkit</w:t>
      </w:r>
    </w:p>
    <w:p w14:paraId="37DB450C" w14:textId="77777777" w:rsidR="00306A30" w:rsidRDefault="00306A30" w:rsidP="00306A30">
      <w:pPr>
        <w:jc w:val="center"/>
        <w:rPr>
          <w:b/>
          <w:bCs/>
          <w:i/>
          <w:iCs/>
          <w:color w:val="AE2261"/>
        </w:rPr>
      </w:pPr>
    </w:p>
    <w:p w14:paraId="57F03835" w14:textId="23AF55FD" w:rsidR="00306A30" w:rsidRPr="00306A30" w:rsidRDefault="00306A30" w:rsidP="00306A30">
      <w:pPr>
        <w:rPr>
          <w:sz w:val="22"/>
          <w:szCs w:val="22"/>
        </w:rPr>
      </w:pPr>
      <w:r w:rsidRPr="00306A30">
        <w:rPr>
          <w:sz w:val="22"/>
          <w:szCs w:val="22"/>
        </w:rPr>
        <w:t>When a child is struggling to attend school due to anxiety, Emotional</w:t>
      </w:r>
      <w:r>
        <w:rPr>
          <w:sz w:val="22"/>
          <w:szCs w:val="22"/>
        </w:rPr>
        <w:t xml:space="preserve"> </w:t>
      </w:r>
      <w:r w:rsidRPr="00306A30">
        <w:rPr>
          <w:sz w:val="22"/>
          <w:szCs w:val="22"/>
        </w:rPr>
        <w:t>Based School Avoidance, sensory overwhelm, or mental health difficulties, it can feel confusing and isolating for families. This guide has been created to help parents understand their legal rights, what support schools and local authorities should provide, and practical steps you can take if attendance becomes a concern.</w:t>
      </w:r>
    </w:p>
    <w:p w14:paraId="706F5186" w14:textId="5352AA24" w:rsidR="00306A30" w:rsidRDefault="00306A30" w:rsidP="00306A30">
      <w:pPr>
        <w:rPr>
          <w:sz w:val="22"/>
          <w:szCs w:val="22"/>
        </w:rPr>
      </w:pPr>
      <w:r w:rsidRPr="00306A30">
        <w:rPr>
          <w:sz w:val="22"/>
          <w:szCs w:val="22"/>
        </w:rPr>
        <w:t>This guide is about access to education, safety, and support.</w:t>
      </w:r>
    </w:p>
    <w:p w14:paraId="4558A1AC" w14:textId="77777777" w:rsidR="00306A30" w:rsidRDefault="00306A30" w:rsidP="00306A30">
      <w:pPr>
        <w:rPr>
          <w:sz w:val="22"/>
          <w:szCs w:val="22"/>
        </w:rPr>
      </w:pPr>
    </w:p>
    <w:p w14:paraId="7DF69E86" w14:textId="77777777" w:rsidR="00306A30" w:rsidRPr="00306A30" w:rsidRDefault="00306A30" w:rsidP="00306A30">
      <w:pPr>
        <w:rPr>
          <w:b/>
          <w:bCs/>
          <w:color w:val="AE2261"/>
          <w:sz w:val="28"/>
          <w:szCs w:val="28"/>
          <w:u w:val="single"/>
        </w:rPr>
      </w:pPr>
      <w:r w:rsidRPr="00306A30">
        <w:rPr>
          <w:b/>
          <w:bCs/>
          <w:color w:val="AE2261"/>
          <w:sz w:val="28"/>
          <w:szCs w:val="28"/>
          <w:u w:val="single"/>
        </w:rPr>
        <w:t>Understanding EBSA &amp; Emotional Barriers</w:t>
      </w:r>
    </w:p>
    <w:p w14:paraId="792C7615" w14:textId="4FD1719F" w:rsidR="00306A30" w:rsidRPr="00306A30" w:rsidRDefault="00306A30" w:rsidP="00306A30">
      <w:pPr>
        <w:rPr>
          <w:sz w:val="22"/>
          <w:szCs w:val="22"/>
        </w:rPr>
      </w:pPr>
      <w:r w:rsidRPr="00306A30">
        <w:rPr>
          <w:sz w:val="22"/>
          <w:szCs w:val="22"/>
        </w:rPr>
        <w:t>EBSA is not “refusal.”</w:t>
      </w:r>
      <w:r>
        <w:rPr>
          <w:sz w:val="22"/>
          <w:szCs w:val="22"/>
        </w:rPr>
        <w:t xml:space="preserve"> </w:t>
      </w:r>
      <w:r w:rsidRPr="00306A30">
        <w:rPr>
          <w:sz w:val="22"/>
          <w:szCs w:val="22"/>
        </w:rPr>
        <w:t>It often presents as:</w:t>
      </w:r>
    </w:p>
    <w:p w14:paraId="12CF3C3E" w14:textId="7DB87572" w:rsidR="00306A30" w:rsidRDefault="00306A30" w:rsidP="00306A30">
      <w:pPr>
        <w:pStyle w:val="ListParagraph"/>
        <w:numPr>
          <w:ilvl w:val="0"/>
          <w:numId w:val="4"/>
        </w:numPr>
        <w:rPr>
          <w:sz w:val="22"/>
          <w:szCs w:val="22"/>
        </w:rPr>
      </w:pPr>
      <w:r w:rsidRPr="00306A30">
        <w:rPr>
          <w:sz w:val="22"/>
          <w:szCs w:val="22"/>
        </w:rPr>
        <w:t>Severe anxiety about school</w:t>
      </w:r>
    </w:p>
    <w:p w14:paraId="0607B324" w14:textId="77777777" w:rsidR="00306A30" w:rsidRDefault="00306A30" w:rsidP="00306A30">
      <w:pPr>
        <w:pStyle w:val="ListParagraph"/>
        <w:numPr>
          <w:ilvl w:val="0"/>
          <w:numId w:val="4"/>
        </w:numPr>
        <w:rPr>
          <w:sz w:val="22"/>
          <w:szCs w:val="22"/>
        </w:rPr>
      </w:pPr>
      <w:r w:rsidRPr="00306A30">
        <w:rPr>
          <w:sz w:val="22"/>
          <w:szCs w:val="22"/>
        </w:rPr>
        <w:t>Emotional shutdowns or meltdowns</w:t>
      </w:r>
    </w:p>
    <w:p w14:paraId="0D68610D" w14:textId="77777777" w:rsidR="00306A30" w:rsidRDefault="00306A30" w:rsidP="00306A30">
      <w:pPr>
        <w:pStyle w:val="ListParagraph"/>
        <w:numPr>
          <w:ilvl w:val="0"/>
          <w:numId w:val="4"/>
        </w:numPr>
        <w:rPr>
          <w:sz w:val="22"/>
          <w:szCs w:val="22"/>
        </w:rPr>
      </w:pPr>
      <w:r w:rsidRPr="00306A30">
        <w:rPr>
          <w:sz w:val="22"/>
          <w:szCs w:val="22"/>
        </w:rPr>
        <w:t>Physical symptoms (stomach aches, headaches, nausea)</w:t>
      </w:r>
    </w:p>
    <w:p w14:paraId="291210ED" w14:textId="77777777" w:rsidR="00306A30" w:rsidRDefault="00306A30" w:rsidP="00306A30">
      <w:pPr>
        <w:pStyle w:val="ListParagraph"/>
        <w:numPr>
          <w:ilvl w:val="0"/>
          <w:numId w:val="4"/>
        </w:numPr>
        <w:rPr>
          <w:sz w:val="22"/>
          <w:szCs w:val="22"/>
        </w:rPr>
      </w:pPr>
      <w:r w:rsidRPr="00306A30">
        <w:rPr>
          <w:sz w:val="22"/>
          <w:szCs w:val="22"/>
        </w:rPr>
        <w:t>Distress the night before or morning of school</w:t>
      </w:r>
    </w:p>
    <w:p w14:paraId="0DC01DDE" w14:textId="257D7543" w:rsidR="00306A30" w:rsidRPr="00306A30" w:rsidRDefault="00306A30" w:rsidP="00306A30">
      <w:pPr>
        <w:pStyle w:val="ListParagraph"/>
        <w:numPr>
          <w:ilvl w:val="0"/>
          <w:numId w:val="4"/>
        </w:numPr>
        <w:rPr>
          <w:sz w:val="22"/>
          <w:szCs w:val="22"/>
        </w:rPr>
      </w:pPr>
      <w:r w:rsidRPr="00306A30">
        <w:rPr>
          <w:sz w:val="22"/>
          <w:szCs w:val="22"/>
        </w:rPr>
        <w:t>Withdrawal or panic when attendance is mentioned</w:t>
      </w:r>
    </w:p>
    <w:p w14:paraId="1E469894" w14:textId="77777777" w:rsidR="00306A30" w:rsidRDefault="00306A30" w:rsidP="00306A30">
      <w:pPr>
        <w:rPr>
          <w:sz w:val="22"/>
          <w:szCs w:val="22"/>
        </w:rPr>
      </w:pPr>
      <w:proofErr w:type="spellStart"/>
      <w:r w:rsidRPr="00306A30">
        <w:rPr>
          <w:sz w:val="22"/>
          <w:szCs w:val="22"/>
        </w:rPr>
        <w:t>Behaviour</w:t>
      </w:r>
      <w:proofErr w:type="spellEnd"/>
      <w:r w:rsidRPr="00306A30">
        <w:rPr>
          <w:sz w:val="22"/>
          <w:szCs w:val="22"/>
        </w:rPr>
        <w:t xml:space="preserve"> is communication. Emotional distress is a barrier to learning, not defiance.</w:t>
      </w:r>
    </w:p>
    <w:p w14:paraId="33B196A8" w14:textId="77777777" w:rsidR="00FE7F89" w:rsidRPr="00FE7F89" w:rsidRDefault="00FE7F89" w:rsidP="00FE7F89">
      <w:pPr>
        <w:rPr>
          <w:b/>
          <w:bCs/>
          <w:color w:val="AE2261"/>
          <w:sz w:val="28"/>
          <w:szCs w:val="28"/>
          <w:u w:val="single"/>
        </w:rPr>
      </w:pPr>
      <w:r w:rsidRPr="00FE7F89">
        <w:rPr>
          <w:b/>
          <w:bCs/>
          <w:color w:val="AE2261"/>
          <w:sz w:val="28"/>
          <w:szCs w:val="28"/>
          <w:u w:val="single"/>
        </w:rPr>
        <w:t>Legal Rights &amp; Duties</w:t>
      </w:r>
    </w:p>
    <w:p w14:paraId="3EED76BF" w14:textId="77777777" w:rsidR="00FE7F89" w:rsidRPr="00FE7F89" w:rsidRDefault="00FE7F89" w:rsidP="00FE7F89">
      <w:pPr>
        <w:rPr>
          <w:i/>
          <w:iCs/>
          <w:color w:val="AE2261"/>
          <w:sz w:val="22"/>
          <w:szCs w:val="22"/>
        </w:rPr>
      </w:pPr>
      <w:r w:rsidRPr="00FE7F89">
        <w:rPr>
          <w:i/>
          <w:iCs/>
          <w:color w:val="AE2261"/>
          <w:sz w:val="22"/>
          <w:szCs w:val="22"/>
        </w:rPr>
        <w:t>SEND Code of Practice 2015</w:t>
      </w:r>
    </w:p>
    <w:p w14:paraId="3AB36106" w14:textId="77777777" w:rsidR="00FE7F89" w:rsidRDefault="00FE7F89" w:rsidP="00FE7F89">
      <w:pPr>
        <w:rPr>
          <w:sz w:val="22"/>
          <w:szCs w:val="22"/>
        </w:rPr>
      </w:pPr>
      <w:r w:rsidRPr="00FE7F89">
        <w:rPr>
          <w:sz w:val="22"/>
          <w:szCs w:val="22"/>
        </w:rPr>
        <w:t>Schools must:</w:t>
      </w:r>
    </w:p>
    <w:p w14:paraId="2D984AB6" w14:textId="77777777" w:rsidR="00FE7F89" w:rsidRDefault="00FE7F89" w:rsidP="00FE7F89">
      <w:pPr>
        <w:pStyle w:val="ListParagraph"/>
        <w:numPr>
          <w:ilvl w:val="0"/>
          <w:numId w:val="20"/>
        </w:numPr>
        <w:rPr>
          <w:sz w:val="22"/>
          <w:szCs w:val="22"/>
        </w:rPr>
      </w:pPr>
      <w:r w:rsidRPr="00FE7F89">
        <w:rPr>
          <w:sz w:val="22"/>
          <w:szCs w:val="22"/>
        </w:rPr>
        <w:t>Identify and remove barriers to learning</w:t>
      </w:r>
    </w:p>
    <w:p w14:paraId="471D4B5F" w14:textId="77777777" w:rsidR="00FE7F89" w:rsidRPr="00FE7F89" w:rsidRDefault="00FE7F89" w:rsidP="00FE7F89">
      <w:pPr>
        <w:pStyle w:val="ListParagraph"/>
        <w:numPr>
          <w:ilvl w:val="0"/>
          <w:numId w:val="20"/>
        </w:numPr>
        <w:rPr>
          <w:sz w:val="22"/>
          <w:szCs w:val="22"/>
        </w:rPr>
      </w:pPr>
      <w:r w:rsidRPr="00FE7F89">
        <w:rPr>
          <w:sz w:val="22"/>
          <w:szCs w:val="22"/>
        </w:rPr>
        <w:t xml:space="preserve">Follow the graduated approach </w:t>
      </w:r>
      <w:r>
        <w:rPr>
          <w:sz w:val="22"/>
          <w:szCs w:val="22"/>
        </w:rPr>
        <w:t>-</w:t>
      </w:r>
      <w:r w:rsidRPr="00FE7F89">
        <w:rPr>
          <w:sz w:val="22"/>
          <w:szCs w:val="22"/>
        </w:rPr>
        <w:t xml:space="preserve"> </w:t>
      </w:r>
      <w:r w:rsidRPr="00FE7F89">
        <w:rPr>
          <w:b/>
          <w:bCs/>
          <w:sz w:val="22"/>
          <w:szCs w:val="22"/>
        </w:rPr>
        <w:t>Assess → Plan → Do → Review</w:t>
      </w:r>
    </w:p>
    <w:p w14:paraId="1E501934" w14:textId="77777777" w:rsidR="00FE7F89" w:rsidRDefault="00FE7F89" w:rsidP="00FE7F89">
      <w:pPr>
        <w:pStyle w:val="ListParagraph"/>
        <w:numPr>
          <w:ilvl w:val="0"/>
          <w:numId w:val="20"/>
        </w:numPr>
        <w:rPr>
          <w:sz w:val="22"/>
          <w:szCs w:val="22"/>
        </w:rPr>
      </w:pPr>
      <w:r w:rsidRPr="00FE7F89">
        <w:rPr>
          <w:sz w:val="22"/>
          <w:szCs w:val="22"/>
        </w:rPr>
        <w:t>Put support in place before enforcement</w:t>
      </w:r>
    </w:p>
    <w:p w14:paraId="6A734F7C" w14:textId="5683EE0C" w:rsidR="00FE7F89" w:rsidRPr="00FE7F89" w:rsidRDefault="00FE7F89" w:rsidP="00FE7F89">
      <w:pPr>
        <w:pStyle w:val="ListParagraph"/>
        <w:numPr>
          <w:ilvl w:val="0"/>
          <w:numId w:val="20"/>
        </w:numPr>
        <w:rPr>
          <w:sz w:val="22"/>
          <w:szCs w:val="22"/>
        </w:rPr>
      </w:pPr>
      <w:r w:rsidRPr="00FE7F89">
        <w:rPr>
          <w:sz w:val="22"/>
          <w:szCs w:val="22"/>
        </w:rPr>
        <w:t>Provide SEN Support without waiting for diagnosis</w:t>
      </w:r>
    </w:p>
    <w:p w14:paraId="64BD494C" w14:textId="77777777" w:rsidR="00FE7F89" w:rsidRPr="00FE7F89" w:rsidRDefault="00FE7F89" w:rsidP="00FE7F89">
      <w:pPr>
        <w:rPr>
          <w:sz w:val="22"/>
          <w:szCs w:val="22"/>
        </w:rPr>
      </w:pPr>
      <w:r w:rsidRPr="00FE7F89">
        <w:rPr>
          <w:b/>
          <w:bCs/>
          <w:color w:val="AE2261"/>
          <w:sz w:val="22"/>
          <w:szCs w:val="22"/>
        </w:rPr>
        <w:t>What This Means</w:t>
      </w:r>
      <w:r w:rsidRPr="00FE7F89">
        <w:rPr>
          <w:b/>
          <w:bCs/>
          <w:sz w:val="22"/>
          <w:szCs w:val="22"/>
        </w:rPr>
        <w:t>:</w:t>
      </w:r>
      <w:r w:rsidRPr="00FE7F89">
        <w:rPr>
          <w:sz w:val="22"/>
          <w:szCs w:val="22"/>
        </w:rPr>
        <w:br/>
        <w:t>Attendance concerns should first lead to support discussions, not fines.</w:t>
      </w:r>
    </w:p>
    <w:p w14:paraId="4CB1CF1C" w14:textId="77777777" w:rsidR="00FE7F89" w:rsidRPr="00FE7F89" w:rsidRDefault="00FE7F89" w:rsidP="00FE7F89">
      <w:pPr>
        <w:rPr>
          <w:color w:val="AE2261"/>
          <w:sz w:val="22"/>
          <w:szCs w:val="22"/>
        </w:rPr>
      </w:pPr>
      <w:r w:rsidRPr="00FE7F89">
        <w:rPr>
          <w:b/>
          <w:bCs/>
          <w:color w:val="AE2261"/>
          <w:sz w:val="22"/>
          <w:szCs w:val="22"/>
        </w:rPr>
        <w:t>You Can Say:</w:t>
      </w:r>
    </w:p>
    <w:p w14:paraId="5C635197" w14:textId="77777777" w:rsidR="00FE7F89" w:rsidRPr="00FE7F89" w:rsidRDefault="00FE7F89" w:rsidP="00FE7F89">
      <w:pPr>
        <w:rPr>
          <w:sz w:val="22"/>
          <w:szCs w:val="22"/>
        </w:rPr>
      </w:pPr>
      <w:r w:rsidRPr="00FE7F89">
        <w:rPr>
          <w:sz w:val="22"/>
          <w:szCs w:val="22"/>
        </w:rPr>
        <w:t>“Under the SEND Code of Practice, schools are required to follow the graduated approach and put SEN support in place before considering enforcement.”</w:t>
      </w:r>
    </w:p>
    <w:p w14:paraId="693E07B0" w14:textId="01E3A760" w:rsidR="00FE7F89" w:rsidRPr="00FE7F89" w:rsidRDefault="00FE7F89" w:rsidP="00FE7F89">
      <w:pPr>
        <w:rPr>
          <w:sz w:val="22"/>
          <w:szCs w:val="22"/>
        </w:rPr>
      </w:pPr>
    </w:p>
    <w:p w14:paraId="0BB9D21E" w14:textId="77777777" w:rsidR="00FE7F89" w:rsidRPr="00FE7F89" w:rsidRDefault="00FE7F89" w:rsidP="00FE7F89">
      <w:pPr>
        <w:rPr>
          <w:color w:val="AE2261"/>
          <w:sz w:val="22"/>
          <w:szCs w:val="22"/>
        </w:rPr>
      </w:pPr>
      <w:r w:rsidRPr="00FE7F89">
        <w:rPr>
          <w:color w:val="AE2261"/>
          <w:sz w:val="22"/>
          <w:szCs w:val="22"/>
        </w:rPr>
        <w:lastRenderedPageBreak/>
        <w:t xml:space="preserve">Equality Act 2010 – </w:t>
      </w:r>
      <w:r w:rsidRPr="00FE7F89">
        <w:rPr>
          <w:b/>
          <w:bCs/>
          <w:color w:val="AE2261"/>
          <w:sz w:val="22"/>
          <w:szCs w:val="22"/>
        </w:rPr>
        <w:t>Reasonable Adjustments</w:t>
      </w:r>
    </w:p>
    <w:p w14:paraId="79D24993" w14:textId="77777777" w:rsidR="00FE7F89" w:rsidRDefault="00FE7F89" w:rsidP="00FE7F89">
      <w:pPr>
        <w:rPr>
          <w:sz w:val="22"/>
          <w:szCs w:val="22"/>
        </w:rPr>
      </w:pPr>
      <w:r w:rsidRPr="00FE7F89">
        <w:rPr>
          <w:sz w:val="22"/>
          <w:szCs w:val="22"/>
        </w:rPr>
        <w:t>Schools must:</w:t>
      </w:r>
    </w:p>
    <w:p w14:paraId="1B3A1827" w14:textId="77777777" w:rsidR="00FE7F89" w:rsidRDefault="00FE7F89" w:rsidP="00FE7F89">
      <w:pPr>
        <w:pStyle w:val="ListParagraph"/>
        <w:numPr>
          <w:ilvl w:val="0"/>
          <w:numId w:val="21"/>
        </w:numPr>
        <w:rPr>
          <w:sz w:val="22"/>
          <w:szCs w:val="22"/>
        </w:rPr>
      </w:pPr>
      <w:r w:rsidRPr="00FE7F89">
        <w:rPr>
          <w:sz w:val="22"/>
          <w:szCs w:val="22"/>
        </w:rPr>
        <w:t xml:space="preserve">Avoid </w:t>
      </w:r>
      <w:proofErr w:type="spellStart"/>
      <w:r w:rsidRPr="00FE7F89">
        <w:rPr>
          <w:sz w:val="22"/>
          <w:szCs w:val="22"/>
        </w:rPr>
        <w:t>unfavourable</w:t>
      </w:r>
      <w:proofErr w:type="spellEnd"/>
      <w:r w:rsidRPr="00FE7F89">
        <w:rPr>
          <w:sz w:val="22"/>
          <w:szCs w:val="22"/>
        </w:rPr>
        <w:t xml:space="preserve"> treatment due to disability</w:t>
      </w:r>
    </w:p>
    <w:p w14:paraId="0FAF672B" w14:textId="77777777" w:rsidR="00FE7F89" w:rsidRDefault="00FE7F89" w:rsidP="00FE7F89">
      <w:pPr>
        <w:pStyle w:val="ListParagraph"/>
        <w:numPr>
          <w:ilvl w:val="0"/>
          <w:numId w:val="21"/>
        </w:numPr>
        <w:rPr>
          <w:sz w:val="22"/>
          <w:szCs w:val="22"/>
        </w:rPr>
      </w:pPr>
      <w:r w:rsidRPr="00FE7F89">
        <w:rPr>
          <w:sz w:val="22"/>
          <w:szCs w:val="22"/>
        </w:rPr>
        <w:t>Make reasonable adjustments</w:t>
      </w:r>
    </w:p>
    <w:p w14:paraId="3162A5B7" w14:textId="4C19AA84" w:rsidR="00FE7F89" w:rsidRPr="00FE7F89" w:rsidRDefault="00FE7F89" w:rsidP="00FE7F89">
      <w:pPr>
        <w:pStyle w:val="ListParagraph"/>
        <w:numPr>
          <w:ilvl w:val="0"/>
          <w:numId w:val="21"/>
        </w:numPr>
        <w:rPr>
          <w:sz w:val="22"/>
          <w:szCs w:val="22"/>
        </w:rPr>
      </w:pPr>
      <w:r w:rsidRPr="00FE7F89">
        <w:rPr>
          <w:sz w:val="22"/>
          <w:szCs w:val="22"/>
        </w:rPr>
        <w:t>Anticipate disabled pupils’ needs</w:t>
      </w:r>
    </w:p>
    <w:p w14:paraId="307C347A" w14:textId="77777777" w:rsidR="00FE7F89" w:rsidRPr="00FE7F89" w:rsidRDefault="00FE7F89" w:rsidP="00FE7F89">
      <w:pPr>
        <w:rPr>
          <w:sz w:val="22"/>
          <w:szCs w:val="22"/>
        </w:rPr>
      </w:pPr>
      <w:r w:rsidRPr="00FE7F89">
        <w:rPr>
          <w:b/>
          <w:bCs/>
          <w:color w:val="AE2261"/>
          <w:sz w:val="22"/>
          <w:szCs w:val="22"/>
        </w:rPr>
        <w:t>Legal Protection:</w:t>
      </w:r>
      <w:r w:rsidRPr="00FE7F89">
        <w:rPr>
          <w:sz w:val="22"/>
          <w:szCs w:val="22"/>
        </w:rPr>
        <w:br/>
        <w:t xml:space="preserve">Absence linked to disability or mental health cannot automatically be treated the same as </w:t>
      </w:r>
      <w:proofErr w:type="spellStart"/>
      <w:r w:rsidRPr="00FE7F89">
        <w:rPr>
          <w:sz w:val="22"/>
          <w:szCs w:val="22"/>
        </w:rPr>
        <w:t>unauthorised</w:t>
      </w:r>
      <w:proofErr w:type="spellEnd"/>
      <w:r w:rsidRPr="00FE7F89">
        <w:rPr>
          <w:sz w:val="22"/>
          <w:szCs w:val="22"/>
        </w:rPr>
        <w:t xml:space="preserve"> absence without adjustments being explored.</w:t>
      </w:r>
    </w:p>
    <w:p w14:paraId="27F5E6E1" w14:textId="77777777" w:rsidR="00FE7F89" w:rsidRPr="00FE7F89" w:rsidRDefault="00FE7F89" w:rsidP="00FE7F89">
      <w:pPr>
        <w:rPr>
          <w:color w:val="AE2261"/>
          <w:sz w:val="22"/>
          <w:szCs w:val="22"/>
        </w:rPr>
      </w:pPr>
      <w:r w:rsidRPr="00FE7F89">
        <w:rPr>
          <w:b/>
          <w:bCs/>
          <w:color w:val="AE2261"/>
          <w:sz w:val="22"/>
          <w:szCs w:val="22"/>
        </w:rPr>
        <w:t>You Can Say:</w:t>
      </w:r>
    </w:p>
    <w:p w14:paraId="1FA70A90" w14:textId="77777777" w:rsidR="00FE7F89" w:rsidRPr="00FE7F89" w:rsidRDefault="00FE7F89" w:rsidP="00FE7F89">
      <w:pPr>
        <w:rPr>
          <w:sz w:val="22"/>
          <w:szCs w:val="22"/>
        </w:rPr>
      </w:pPr>
      <w:r w:rsidRPr="00FE7F89">
        <w:rPr>
          <w:sz w:val="22"/>
          <w:szCs w:val="22"/>
        </w:rPr>
        <w:t>“I would like to understand what reasonable adjustments have been considered under the Equality Act 2010.”</w:t>
      </w:r>
    </w:p>
    <w:p w14:paraId="664CF6B6" w14:textId="57158E99" w:rsidR="00FE7F89" w:rsidRPr="00FE7F89" w:rsidRDefault="00FE7F89" w:rsidP="00FE7F89">
      <w:pPr>
        <w:rPr>
          <w:sz w:val="22"/>
          <w:szCs w:val="22"/>
        </w:rPr>
      </w:pPr>
    </w:p>
    <w:p w14:paraId="31A195BF" w14:textId="77777777" w:rsidR="00FE7F89" w:rsidRPr="00FE7F89" w:rsidRDefault="00FE7F89" w:rsidP="00FE7F89">
      <w:pPr>
        <w:rPr>
          <w:b/>
          <w:bCs/>
          <w:color w:val="AE2261"/>
          <w:sz w:val="22"/>
          <w:szCs w:val="22"/>
        </w:rPr>
      </w:pPr>
      <w:r w:rsidRPr="00FE7F89">
        <w:rPr>
          <w:color w:val="AE2261"/>
          <w:sz w:val="22"/>
          <w:szCs w:val="22"/>
        </w:rPr>
        <w:t>Children &amp; Families Act 2014</w:t>
      </w:r>
      <w:r w:rsidRPr="00FE7F89">
        <w:rPr>
          <w:b/>
          <w:bCs/>
          <w:color w:val="AE2261"/>
          <w:sz w:val="22"/>
          <w:szCs w:val="22"/>
        </w:rPr>
        <w:t xml:space="preserve"> – Best </w:t>
      </w:r>
      <w:proofErr w:type="spellStart"/>
      <w:r w:rsidRPr="00FE7F89">
        <w:rPr>
          <w:b/>
          <w:bCs/>
          <w:color w:val="AE2261"/>
          <w:sz w:val="22"/>
          <w:szCs w:val="22"/>
        </w:rPr>
        <w:t>Endeavours</w:t>
      </w:r>
      <w:proofErr w:type="spellEnd"/>
    </w:p>
    <w:p w14:paraId="1EFA98A8" w14:textId="77777777" w:rsidR="00FE7F89" w:rsidRPr="00FE7F89" w:rsidRDefault="00FE7F89" w:rsidP="00FE7F89">
      <w:pPr>
        <w:rPr>
          <w:sz w:val="22"/>
          <w:szCs w:val="22"/>
        </w:rPr>
      </w:pPr>
      <w:r w:rsidRPr="00FE7F89">
        <w:rPr>
          <w:sz w:val="22"/>
          <w:szCs w:val="22"/>
        </w:rPr>
        <w:t xml:space="preserve">Schools must use their best </w:t>
      </w:r>
      <w:proofErr w:type="spellStart"/>
      <w:r w:rsidRPr="00FE7F89">
        <w:rPr>
          <w:sz w:val="22"/>
          <w:szCs w:val="22"/>
        </w:rPr>
        <w:t>endeavours</w:t>
      </w:r>
      <w:proofErr w:type="spellEnd"/>
      <w:r w:rsidRPr="00FE7F89">
        <w:rPr>
          <w:sz w:val="22"/>
          <w:szCs w:val="22"/>
        </w:rPr>
        <w:t xml:space="preserve"> to secure provision required by a child’s SEN.</w:t>
      </w:r>
    </w:p>
    <w:p w14:paraId="0EBF1776" w14:textId="77777777" w:rsidR="00FE7F89" w:rsidRPr="00FE7F89" w:rsidRDefault="00FE7F89" w:rsidP="00FE7F89">
      <w:pPr>
        <w:rPr>
          <w:sz w:val="22"/>
          <w:szCs w:val="22"/>
        </w:rPr>
      </w:pPr>
      <w:r w:rsidRPr="00FE7F89">
        <w:rPr>
          <w:b/>
          <w:bCs/>
          <w:color w:val="AE2261"/>
          <w:sz w:val="22"/>
          <w:szCs w:val="22"/>
        </w:rPr>
        <w:t>What This Means:</w:t>
      </w:r>
      <w:r w:rsidRPr="00FE7F89">
        <w:rPr>
          <w:sz w:val="22"/>
          <w:szCs w:val="22"/>
        </w:rPr>
        <w:br/>
        <w:t>If attendance breaks down due to unmet needs, the responsibility does not fall solely on parents.</w:t>
      </w:r>
    </w:p>
    <w:p w14:paraId="53F3C6B5" w14:textId="77777777" w:rsidR="00FE7F89" w:rsidRPr="00FE7F89" w:rsidRDefault="00FE7F89" w:rsidP="00FE7F89">
      <w:pPr>
        <w:rPr>
          <w:color w:val="AE2261"/>
          <w:sz w:val="22"/>
          <w:szCs w:val="22"/>
        </w:rPr>
      </w:pPr>
      <w:r w:rsidRPr="00FE7F89">
        <w:rPr>
          <w:b/>
          <w:bCs/>
          <w:color w:val="AE2261"/>
          <w:sz w:val="22"/>
          <w:szCs w:val="22"/>
        </w:rPr>
        <w:t>You Can Say:</w:t>
      </w:r>
    </w:p>
    <w:p w14:paraId="4A1AFA79" w14:textId="77777777" w:rsidR="00FE7F89" w:rsidRPr="00FE7F89" w:rsidRDefault="00FE7F89" w:rsidP="00FE7F89">
      <w:pPr>
        <w:rPr>
          <w:sz w:val="22"/>
          <w:szCs w:val="22"/>
        </w:rPr>
      </w:pPr>
      <w:r w:rsidRPr="00FE7F89">
        <w:rPr>
          <w:sz w:val="22"/>
          <w:szCs w:val="22"/>
        </w:rPr>
        <w:t xml:space="preserve">“Under Section 66 of the Children and Families Act 2014, schools are required to use their best </w:t>
      </w:r>
      <w:proofErr w:type="spellStart"/>
      <w:r w:rsidRPr="00FE7F89">
        <w:rPr>
          <w:sz w:val="22"/>
          <w:szCs w:val="22"/>
        </w:rPr>
        <w:t>endeavours</w:t>
      </w:r>
      <w:proofErr w:type="spellEnd"/>
      <w:r w:rsidRPr="00FE7F89">
        <w:rPr>
          <w:sz w:val="22"/>
          <w:szCs w:val="22"/>
        </w:rPr>
        <w:t xml:space="preserve"> to secure provision for my child’s needs.”</w:t>
      </w:r>
    </w:p>
    <w:p w14:paraId="5B5F8F5F" w14:textId="77777777" w:rsidR="00FE7F89" w:rsidRDefault="00FE7F89" w:rsidP="00306A30">
      <w:pPr>
        <w:rPr>
          <w:sz w:val="22"/>
          <w:szCs w:val="22"/>
        </w:rPr>
      </w:pPr>
    </w:p>
    <w:p w14:paraId="4A726D32" w14:textId="1A7F4E30" w:rsidR="00306A30" w:rsidRPr="00306A30" w:rsidRDefault="00306A30" w:rsidP="00306A30">
      <w:pPr>
        <w:rPr>
          <w:b/>
          <w:bCs/>
          <w:color w:val="AE2261"/>
          <w:sz w:val="28"/>
          <w:szCs w:val="28"/>
          <w:u w:val="single"/>
        </w:rPr>
      </w:pPr>
      <w:r w:rsidRPr="00306A30">
        <w:rPr>
          <w:b/>
          <w:bCs/>
          <w:color w:val="AE2261"/>
          <w:sz w:val="28"/>
          <w:szCs w:val="28"/>
          <w:u w:val="single"/>
        </w:rPr>
        <w:t xml:space="preserve">What Schools Must Do </w:t>
      </w:r>
    </w:p>
    <w:p w14:paraId="25665314" w14:textId="77777777" w:rsidR="00306A30" w:rsidRDefault="00306A30" w:rsidP="00306A30">
      <w:pPr>
        <w:rPr>
          <w:sz w:val="22"/>
          <w:szCs w:val="22"/>
        </w:rPr>
      </w:pPr>
      <w:r w:rsidRPr="00306A30">
        <w:rPr>
          <w:sz w:val="22"/>
          <w:szCs w:val="22"/>
        </w:rPr>
        <w:t>Before enforcement or fines are discussed, schools should:</w:t>
      </w:r>
    </w:p>
    <w:p w14:paraId="749531F8" w14:textId="77777777" w:rsidR="00306A30" w:rsidRDefault="00306A30" w:rsidP="00306A30">
      <w:pPr>
        <w:pStyle w:val="ListParagraph"/>
        <w:numPr>
          <w:ilvl w:val="0"/>
          <w:numId w:val="5"/>
        </w:numPr>
        <w:rPr>
          <w:sz w:val="22"/>
          <w:szCs w:val="22"/>
        </w:rPr>
      </w:pPr>
      <w:r w:rsidRPr="00306A30">
        <w:rPr>
          <w:sz w:val="22"/>
          <w:szCs w:val="22"/>
        </w:rPr>
        <w:t>Identify barriers to attendance</w:t>
      </w:r>
    </w:p>
    <w:p w14:paraId="2D21ABD6" w14:textId="658C6BE1" w:rsidR="00306A30" w:rsidRDefault="00306A30" w:rsidP="00306A30">
      <w:pPr>
        <w:pStyle w:val="ListParagraph"/>
        <w:numPr>
          <w:ilvl w:val="0"/>
          <w:numId w:val="5"/>
        </w:numPr>
        <w:rPr>
          <w:sz w:val="22"/>
          <w:szCs w:val="22"/>
        </w:rPr>
      </w:pPr>
      <w:r w:rsidRPr="00306A30">
        <w:rPr>
          <w:sz w:val="22"/>
          <w:szCs w:val="22"/>
        </w:rPr>
        <w:t>Follow the graduated approach (Assess → Plan → Do → Review)</w:t>
      </w:r>
      <w:r w:rsidR="001853F9">
        <w:rPr>
          <w:sz w:val="22"/>
          <w:szCs w:val="22"/>
        </w:rPr>
        <w:t xml:space="preserve"> set out in the SEND Code </w:t>
      </w:r>
      <w:proofErr w:type="gramStart"/>
      <w:r w:rsidR="001853F9">
        <w:rPr>
          <w:sz w:val="22"/>
          <w:szCs w:val="22"/>
        </w:rPr>
        <w:t>Of</w:t>
      </w:r>
      <w:proofErr w:type="gramEnd"/>
      <w:r w:rsidR="001853F9">
        <w:rPr>
          <w:sz w:val="22"/>
          <w:szCs w:val="22"/>
        </w:rPr>
        <w:t xml:space="preserve"> Practice 2015</w:t>
      </w:r>
    </w:p>
    <w:p w14:paraId="6F06BE87" w14:textId="22034FE5" w:rsidR="00306A30" w:rsidRDefault="00306A30" w:rsidP="00306A30">
      <w:pPr>
        <w:pStyle w:val="ListParagraph"/>
        <w:numPr>
          <w:ilvl w:val="0"/>
          <w:numId w:val="5"/>
        </w:numPr>
        <w:rPr>
          <w:sz w:val="22"/>
          <w:szCs w:val="22"/>
        </w:rPr>
      </w:pPr>
      <w:r w:rsidRPr="00306A30">
        <w:rPr>
          <w:sz w:val="22"/>
          <w:szCs w:val="22"/>
        </w:rPr>
        <w:t>Provide SEN Support and reasonable adjustments</w:t>
      </w:r>
      <w:r w:rsidR="001853F9">
        <w:rPr>
          <w:sz w:val="22"/>
          <w:szCs w:val="22"/>
        </w:rPr>
        <w:t xml:space="preserve"> </w:t>
      </w:r>
    </w:p>
    <w:p w14:paraId="291497EC" w14:textId="77777777" w:rsidR="00306A30" w:rsidRDefault="00306A30" w:rsidP="00306A30">
      <w:pPr>
        <w:pStyle w:val="ListParagraph"/>
        <w:numPr>
          <w:ilvl w:val="0"/>
          <w:numId w:val="5"/>
        </w:numPr>
        <w:rPr>
          <w:sz w:val="22"/>
          <w:szCs w:val="22"/>
        </w:rPr>
      </w:pPr>
      <w:r w:rsidRPr="00306A30">
        <w:rPr>
          <w:sz w:val="22"/>
          <w:szCs w:val="22"/>
        </w:rPr>
        <w:t>Offer pastoral or emotional wellbeing support</w:t>
      </w:r>
    </w:p>
    <w:p w14:paraId="4B65166D" w14:textId="77777777" w:rsidR="00306A30" w:rsidRDefault="00306A30" w:rsidP="00306A30">
      <w:pPr>
        <w:pStyle w:val="ListParagraph"/>
        <w:numPr>
          <w:ilvl w:val="0"/>
          <w:numId w:val="5"/>
        </w:numPr>
        <w:rPr>
          <w:sz w:val="22"/>
          <w:szCs w:val="22"/>
        </w:rPr>
      </w:pPr>
      <w:r w:rsidRPr="00306A30">
        <w:rPr>
          <w:sz w:val="22"/>
          <w:szCs w:val="22"/>
        </w:rPr>
        <w:t>Work in partnership with parents</w:t>
      </w:r>
    </w:p>
    <w:p w14:paraId="12803F28" w14:textId="76718B55" w:rsidR="00306A30" w:rsidRPr="00306A30" w:rsidRDefault="00306A30" w:rsidP="00306A30">
      <w:pPr>
        <w:pStyle w:val="ListParagraph"/>
        <w:numPr>
          <w:ilvl w:val="0"/>
          <w:numId w:val="5"/>
        </w:numPr>
        <w:rPr>
          <w:sz w:val="22"/>
          <w:szCs w:val="22"/>
        </w:rPr>
      </w:pPr>
      <w:r w:rsidRPr="00306A30">
        <w:rPr>
          <w:sz w:val="22"/>
          <w:szCs w:val="22"/>
        </w:rPr>
        <w:t>Consider safeguarding and emotional safety</w:t>
      </w:r>
    </w:p>
    <w:p w14:paraId="5D039FA5" w14:textId="77777777" w:rsidR="00306A30" w:rsidRDefault="00306A30" w:rsidP="00306A30">
      <w:pPr>
        <w:rPr>
          <w:b/>
          <w:bCs/>
          <w:color w:val="AE2261"/>
          <w:sz w:val="22"/>
          <w:szCs w:val="22"/>
        </w:rPr>
      </w:pPr>
      <w:r w:rsidRPr="00306A30">
        <w:rPr>
          <w:sz w:val="22"/>
          <w:szCs w:val="22"/>
        </w:rPr>
        <w:t xml:space="preserve">Support should always come </w:t>
      </w:r>
      <w:r w:rsidRPr="00306A30">
        <w:rPr>
          <w:b/>
          <w:bCs/>
          <w:color w:val="AE2261"/>
          <w:sz w:val="22"/>
          <w:szCs w:val="22"/>
        </w:rPr>
        <w:t>before pressure.</w:t>
      </w:r>
    </w:p>
    <w:p w14:paraId="613102CC" w14:textId="5C1F72EB" w:rsidR="0018308A" w:rsidRDefault="0018308A" w:rsidP="00306A30">
      <w:pPr>
        <w:rPr>
          <w:b/>
          <w:bCs/>
          <w:color w:val="AE2261"/>
          <w:sz w:val="22"/>
          <w:szCs w:val="22"/>
        </w:rPr>
      </w:pPr>
      <w:r>
        <w:rPr>
          <w:b/>
          <w:bCs/>
          <w:color w:val="AE2261"/>
          <w:sz w:val="22"/>
          <w:szCs w:val="22"/>
        </w:rPr>
        <w:t>Schools have safeguarding duties, they must:</w:t>
      </w:r>
    </w:p>
    <w:p w14:paraId="3A137F76" w14:textId="31601ABB" w:rsidR="0018308A" w:rsidRDefault="0018308A" w:rsidP="0018308A">
      <w:pPr>
        <w:pStyle w:val="ListParagraph"/>
        <w:numPr>
          <w:ilvl w:val="0"/>
          <w:numId w:val="24"/>
        </w:numPr>
        <w:rPr>
          <w:sz w:val="22"/>
          <w:szCs w:val="22"/>
        </w:rPr>
      </w:pPr>
      <w:proofErr w:type="spellStart"/>
      <w:r>
        <w:rPr>
          <w:sz w:val="22"/>
          <w:szCs w:val="22"/>
        </w:rPr>
        <w:t>Recognise</w:t>
      </w:r>
      <w:proofErr w:type="spellEnd"/>
      <w:r>
        <w:rPr>
          <w:sz w:val="22"/>
          <w:szCs w:val="22"/>
        </w:rPr>
        <w:t xml:space="preserve"> </w:t>
      </w:r>
      <w:r w:rsidR="0076468A">
        <w:rPr>
          <w:sz w:val="22"/>
          <w:szCs w:val="22"/>
        </w:rPr>
        <w:t>that persistent absence may signal mental health needs</w:t>
      </w:r>
    </w:p>
    <w:p w14:paraId="251209A4" w14:textId="32793194" w:rsidR="0076468A" w:rsidRDefault="0076468A" w:rsidP="0018308A">
      <w:pPr>
        <w:pStyle w:val="ListParagraph"/>
        <w:numPr>
          <w:ilvl w:val="0"/>
          <w:numId w:val="24"/>
        </w:numPr>
        <w:rPr>
          <w:sz w:val="22"/>
          <w:szCs w:val="22"/>
        </w:rPr>
      </w:pPr>
      <w:r>
        <w:rPr>
          <w:sz w:val="22"/>
          <w:szCs w:val="22"/>
        </w:rPr>
        <w:lastRenderedPageBreak/>
        <w:t>Adjust expectations</w:t>
      </w:r>
    </w:p>
    <w:p w14:paraId="5330907F" w14:textId="1DA9E4B1" w:rsidR="0076468A" w:rsidRDefault="0076468A" w:rsidP="0018308A">
      <w:pPr>
        <w:pStyle w:val="ListParagraph"/>
        <w:numPr>
          <w:ilvl w:val="0"/>
          <w:numId w:val="24"/>
        </w:numPr>
        <w:rPr>
          <w:sz w:val="22"/>
          <w:szCs w:val="22"/>
        </w:rPr>
      </w:pPr>
      <w:r>
        <w:rPr>
          <w:sz w:val="22"/>
          <w:szCs w:val="22"/>
        </w:rPr>
        <w:t>Ensure that children feel safe</w:t>
      </w:r>
    </w:p>
    <w:p w14:paraId="2138FEB4" w14:textId="1FA2BBA2" w:rsidR="0076468A" w:rsidRDefault="0076468A" w:rsidP="0018308A">
      <w:pPr>
        <w:pStyle w:val="ListParagraph"/>
        <w:numPr>
          <w:ilvl w:val="0"/>
          <w:numId w:val="24"/>
        </w:numPr>
        <w:rPr>
          <w:sz w:val="22"/>
          <w:szCs w:val="22"/>
        </w:rPr>
      </w:pPr>
      <w:r>
        <w:rPr>
          <w:sz w:val="22"/>
          <w:szCs w:val="22"/>
        </w:rPr>
        <w:t xml:space="preserve">Listen to the child’s lived experience </w:t>
      </w:r>
    </w:p>
    <w:p w14:paraId="531201B4" w14:textId="38B962F0" w:rsidR="0076468A" w:rsidRPr="0076468A" w:rsidRDefault="0076468A" w:rsidP="0076468A">
      <w:pPr>
        <w:rPr>
          <w:sz w:val="22"/>
          <w:szCs w:val="22"/>
        </w:rPr>
      </w:pPr>
      <w:r>
        <w:rPr>
          <w:sz w:val="22"/>
          <w:szCs w:val="22"/>
        </w:rPr>
        <w:t>If a child feels unsafe or overwhelmed, enforcement is inappropriate.</w:t>
      </w:r>
    </w:p>
    <w:p w14:paraId="6A1EA46A" w14:textId="77777777" w:rsidR="00306A30" w:rsidRPr="00306A30" w:rsidRDefault="00306A30" w:rsidP="00306A30">
      <w:pPr>
        <w:rPr>
          <w:b/>
          <w:bCs/>
          <w:color w:val="AE2261"/>
          <w:sz w:val="28"/>
          <w:szCs w:val="28"/>
          <w:u w:val="single"/>
        </w:rPr>
      </w:pPr>
      <w:r w:rsidRPr="00306A30">
        <w:rPr>
          <w:b/>
          <w:bCs/>
          <w:color w:val="AE2261"/>
          <w:sz w:val="28"/>
          <w:szCs w:val="28"/>
          <w:u w:val="single"/>
        </w:rPr>
        <w:t>Local Authority Duties</w:t>
      </w:r>
    </w:p>
    <w:p w14:paraId="3496755D" w14:textId="77777777" w:rsidR="00306A30" w:rsidRPr="00306A30" w:rsidRDefault="00306A30" w:rsidP="00306A30">
      <w:pPr>
        <w:rPr>
          <w:sz w:val="22"/>
          <w:szCs w:val="22"/>
        </w:rPr>
      </w:pPr>
      <w:r w:rsidRPr="00306A30">
        <w:rPr>
          <w:sz w:val="22"/>
          <w:szCs w:val="22"/>
        </w:rPr>
        <w:t>Where a child cannot attend school for an extended period, Local Authorities have legal responsibilities, including:</w:t>
      </w:r>
    </w:p>
    <w:p w14:paraId="45661E19" w14:textId="77777777" w:rsidR="00306A30" w:rsidRDefault="00306A30" w:rsidP="00306A30">
      <w:pPr>
        <w:pStyle w:val="ListParagraph"/>
        <w:numPr>
          <w:ilvl w:val="0"/>
          <w:numId w:val="7"/>
        </w:numPr>
        <w:rPr>
          <w:sz w:val="22"/>
          <w:szCs w:val="22"/>
        </w:rPr>
      </w:pPr>
      <w:r w:rsidRPr="00306A30">
        <w:rPr>
          <w:sz w:val="22"/>
          <w:szCs w:val="22"/>
        </w:rPr>
        <w:t>Considering Section 19 alternative education</w:t>
      </w:r>
    </w:p>
    <w:p w14:paraId="40830D3D" w14:textId="77777777" w:rsidR="00306A30" w:rsidRDefault="00306A30" w:rsidP="00306A30">
      <w:pPr>
        <w:pStyle w:val="ListParagraph"/>
        <w:numPr>
          <w:ilvl w:val="0"/>
          <w:numId w:val="7"/>
        </w:numPr>
        <w:rPr>
          <w:sz w:val="22"/>
          <w:szCs w:val="22"/>
        </w:rPr>
      </w:pPr>
      <w:r w:rsidRPr="00306A30">
        <w:rPr>
          <w:sz w:val="22"/>
          <w:szCs w:val="22"/>
        </w:rPr>
        <w:t>Ensuring education continues even without an EHCP</w:t>
      </w:r>
    </w:p>
    <w:p w14:paraId="2F9C4D4A" w14:textId="77777777" w:rsidR="00306A30" w:rsidRDefault="00306A30" w:rsidP="00306A30">
      <w:pPr>
        <w:pStyle w:val="ListParagraph"/>
        <w:numPr>
          <w:ilvl w:val="0"/>
          <w:numId w:val="7"/>
        </w:numPr>
        <w:rPr>
          <w:sz w:val="22"/>
          <w:szCs w:val="22"/>
        </w:rPr>
      </w:pPr>
      <w:r>
        <w:rPr>
          <w:sz w:val="22"/>
          <w:szCs w:val="22"/>
        </w:rPr>
        <w:t>A</w:t>
      </w:r>
      <w:r w:rsidRPr="00306A30">
        <w:rPr>
          <w:sz w:val="22"/>
          <w:szCs w:val="22"/>
        </w:rPr>
        <w:t>voiding prolonged periods with no provision</w:t>
      </w:r>
    </w:p>
    <w:p w14:paraId="635F4EA4" w14:textId="6C41B3D1" w:rsidR="00306A30" w:rsidRDefault="00306A30" w:rsidP="00306A30">
      <w:pPr>
        <w:pStyle w:val="ListParagraph"/>
        <w:numPr>
          <w:ilvl w:val="0"/>
          <w:numId w:val="7"/>
        </w:numPr>
        <w:rPr>
          <w:sz w:val="22"/>
          <w:szCs w:val="22"/>
        </w:rPr>
      </w:pPr>
      <w:r w:rsidRPr="00306A30">
        <w:rPr>
          <w:sz w:val="22"/>
          <w:szCs w:val="22"/>
        </w:rPr>
        <w:t>Working collaboratively with families</w:t>
      </w:r>
    </w:p>
    <w:p w14:paraId="3234BCAF" w14:textId="77777777" w:rsidR="00EF2099" w:rsidRPr="00EF2099" w:rsidRDefault="00EF2099" w:rsidP="00EF2099">
      <w:pPr>
        <w:rPr>
          <w:b/>
          <w:bCs/>
          <w:sz w:val="22"/>
          <w:szCs w:val="22"/>
        </w:rPr>
      </w:pPr>
      <w:r w:rsidRPr="00EF2099">
        <w:rPr>
          <w:color w:val="AE2261"/>
          <w:sz w:val="22"/>
          <w:szCs w:val="22"/>
        </w:rPr>
        <w:t>Education Act 1996</w:t>
      </w:r>
      <w:r w:rsidRPr="00EF2099">
        <w:rPr>
          <w:b/>
          <w:bCs/>
          <w:color w:val="AE2261"/>
          <w:sz w:val="22"/>
          <w:szCs w:val="22"/>
        </w:rPr>
        <w:t xml:space="preserve"> – Section 19</w:t>
      </w:r>
    </w:p>
    <w:p w14:paraId="2C375F57" w14:textId="77777777" w:rsidR="00EF2099" w:rsidRPr="00EF2099" w:rsidRDefault="00EF2099" w:rsidP="00EF2099">
      <w:pPr>
        <w:rPr>
          <w:sz w:val="22"/>
          <w:szCs w:val="22"/>
        </w:rPr>
      </w:pPr>
      <w:r w:rsidRPr="00EF2099">
        <w:rPr>
          <w:sz w:val="22"/>
          <w:szCs w:val="22"/>
        </w:rPr>
        <w:t xml:space="preserve">Section 19 of the </w:t>
      </w:r>
      <w:hyperlink r:id="rId6" w:tgtFrame="_blank" w:history="1">
        <w:r w:rsidRPr="00EF2099">
          <w:rPr>
            <w:rStyle w:val="Hyperlink"/>
            <w:b/>
            <w:bCs/>
            <w:i/>
            <w:iCs/>
            <w:sz w:val="22"/>
            <w:szCs w:val="22"/>
          </w:rPr>
          <w:t>Education Act 1996</w:t>
        </w:r>
      </w:hyperlink>
      <w:r w:rsidRPr="00EF2099">
        <w:rPr>
          <w:sz w:val="22"/>
          <w:szCs w:val="22"/>
        </w:rPr>
        <w:t xml:space="preserve"> places a legal duty on Local Authorities to arrange suitable alternative education for children of compulsory school age who are unable to attend school due to illness, exclusion, or any other reason.</w:t>
      </w:r>
    </w:p>
    <w:p w14:paraId="6351574F" w14:textId="77777777" w:rsidR="00EF2099" w:rsidRPr="00EF2099" w:rsidRDefault="00EF2099" w:rsidP="00EF2099">
      <w:pPr>
        <w:rPr>
          <w:sz w:val="22"/>
          <w:szCs w:val="22"/>
        </w:rPr>
      </w:pPr>
      <w:r w:rsidRPr="00EF2099">
        <w:rPr>
          <w:sz w:val="22"/>
          <w:szCs w:val="22"/>
        </w:rPr>
        <w:t xml:space="preserve">This duty applies </w:t>
      </w:r>
      <w:r w:rsidRPr="00EF2099">
        <w:rPr>
          <w:b/>
          <w:bCs/>
          <w:color w:val="AE2261"/>
          <w:sz w:val="22"/>
          <w:szCs w:val="22"/>
        </w:rPr>
        <w:t>with or without:</w:t>
      </w:r>
    </w:p>
    <w:p w14:paraId="428F4F36" w14:textId="77777777" w:rsidR="00EF2099" w:rsidRPr="00EF2099" w:rsidRDefault="00EF2099" w:rsidP="00EF2099">
      <w:pPr>
        <w:numPr>
          <w:ilvl w:val="0"/>
          <w:numId w:val="23"/>
        </w:numPr>
        <w:rPr>
          <w:sz w:val="22"/>
          <w:szCs w:val="22"/>
        </w:rPr>
      </w:pPr>
      <w:r w:rsidRPr="00EF2099">
        <w:rPr>
          <w:sz w:val="22"/>
          <w:szCs w:val="22"/>
        </w:rPr>
        <w:t>A diagnosis</w:t>
      </w:r>
    </w:p>
    <w:p w14:paraId="0EDE9879" w14:textId="77777777" w:rsidR="00EF2099" w:rsidRPr="00EF2099" w:rsidRDefault="00EF2099" w:rsidP="00EF2099">
      <w:pPr>
        <w:numPr>
          <w:ilvl w:val="0"/>
          <w:numId w:val="23"/>
        </w:numPr>
        <w:rPr>
          <w:sz w:val="22"/>
          <w:szCs w:val="22"/>
        </w:rPr>
      </w:pPr>
      <w:r w:rsidRPr="00EF2099">
        <w:rPr>
          <w:sz w:val="22"/>
          <w:szCs w:val="22"/>
        </w:rPr>
        <w:t>An EHCP</w:t>
      </w:r>
    </w:p>
    <w:p w14:paraId="0C8C02DF" w14:textId="77777777" w:rsidR="00EF2099" w:rsidRPr="00EF2099" w:rsidRDefault="00EF2099" w:rsidP="00EF2099">
      <w:pPr>
        <w:numPr>
          <w:ilvl w:val="0"/>
          <w:numId w:val="23"/>
        </w:numPr>
        <w:rPr>
          <w:sz w:val="22"/>
          <w:szCs w:val="22"/>
        </w:rPr>
      </w:pPr>
      <w:r w:rsidRPr="00EF2099">
        <w:rPr>
          <w:sz w:val="22"/>
          <w:szCs w:val="22"/>
        </w:rPr>
        <w:t>SEN Support</w:t>
      </w:r>
    </w:p>
    <w:p w14:paraId="7256DF3A" w14:textId="77777777" w:rsidR="00EF2099" w:rsidRPr="00EF2099" w:rsidRDefault="00EF2099" w:rsidP="00EF2099">
      <w:pPr>
        <w:numPr>
          <w:ilvl w:val="0"/>
          <w:numId w:val="23"/>
        </w:numPr>
        <w:rPr>
          <w:sz w:val="22"/>
          <w:szCs w:val="22"/>
        </w:rPr>
      </w:pPr>
      <w:r w:rsidRPr="00EF2099">
        <w:rPr>
          <w:sz w:val="22"/>
          <w:szCs w:val="22"/>
        </w:rPr>
        <w:t>Long-term medical evidence</w:t>
      </w:r>
    </w:p>
    <w:p w14:paraId="09BEB972" w14:textId="77777777" w:rsidR="00EF2099" w:rsidRPr="00EF2099" w:rsidRDefault="00EF2099" w:rsidP="00EF2099">
      <w:pPr>
        <w:rPr>
          <w:sz w:val="22"/>
          <w:szCs w:val="22"/>
        </w:rPr>
      </w:pPr>
      <w:r w:rsidRPr="00EF2099">
        <w:rPr>
          <w:sz w:val="22"/>
          <w:szCs w:val="22"/>
        </w:rPr>
        <w:t xml:space="preserve">If a child cannot access school, education must </w:t>
      </w:r>
      <w:proofErr w:type="gramStart"/>
      <w:r w:rsidRPr="00EF2099">
        <w:rPr>
          <w:sz w:val="22"/>
          <w:szCs w:val="22"/>
        </w:rPr>
        <w:t>still continue</w:t>
      </w:r>
      <w:proofErr w:type="gramEnd"/>
      <w:r w:rsidRPr="00EF2099">
        <w:rPr>
          <w:sz w:val="22"/>
          <w:szCs w:val="22"/>
        </w:rPr>
        <w:t>.</w:t>
      </w:r>
    </w:p>
    <w:p w14:paraId="74DD0A2D" w14:textId="77777777" w:rsidR="00EF2099" w:rsidRPr="00EF2099" w:rsidRDefault="00EF2099" w:rsidP="00EF2099">
      <w:pPr>
        <w:rPr>
          <w:sz w:val="22"/>
          <w:szCs w:val="22"/>
        </w:rPr>
      </w:pPr>
      <w:r w:rsidRPr="00EF2099">
        <w:rPr>
          <w:sz w:val="22"/>
          <w:szCs w:val="22"/>
        </w:rPr>
        <w:t>The Local Authority’s responsibility under Section 19 arises whenever a child of compulsory school age is unable to access school education for an extended absence. This is not limited to medical illness. The duty applies where a child cannot attend due to exclusion, lack of a school place, or any other circumstance that prevents them from receiving suitable education.</w:t>
      </w:r>
    </w:p>
    <w:p w14:paraId="5EDC504A" w14:textId="77777777" w:rsidR="00EF2099" w:rsidRPr="00EF2099" w:rsidRDefault="00EF2099" w:rsidP="00EF2099">
      <w:pPr>
        <w:rPr>
          <w:sz w:val="22"/>
          <w:szCs w:val="22"/>
        </w:rPr>
      </w:pPr>
      <w:r w:rsidRPr="00EF2099">
        <w:rPr>
          <w:sz w:val="22"/>
          <w:szCs w:val="22"/>
        </w:rPr>
        <w:t>Parents can contact the Local Authority directly to request consideration of Section 19 provision - it does not need to come solely from the school.</w:t>
      </w:r>
    </w:p>
    <w:p w14:paraId="59C8BB91" w14:textId="77777777" w:rsidR="00EF2099" w:rsidRPr="00EF2099" w:rsidRDefault="00EF2099" w:rsidP="00EF2099">
      <w:pPr>
        <w:rPr>
          <w:sz w:val="22"/>
          <w:szCs w:val="22"/>
        </w:rPr>
      </w:pPr>
    </w:p>
    <w:p w14:paraId="10B04679" w14:textId="77777777" w:rsidR="00306A30" w:rsidRPr="00306A30" w:rsidRDefault="00306A30" w:rsidP="00306A30">
      <w:pPr>
        <w:rPr>
          <w:b/>
          <w:bCs/>
          <w:color w:val="AE2261"/>
          <w:sz w:val="28"/>
          <w:szCs w:val="28"/>
          <w:u w:val="single"/>
        </w:rPr>
      </w:pPr>
      <w:r w:rsidRPr="00306A30">
        <w:rPr>
          <w:b/>
          <w:bCs/>
          <w:color w:val="AE2261"/>
          <w:sz w:val="28"/>
          <w:szCs w:val="28"/>
          <w:u w:val="single"/>
        </w:rPr>
        <w:t>Practical Steps for Parents</w:t>
      </w:r>
    </w:p>
    <w:p w14:paraId="558C533E" w14:textId="77777777" w:rsidR="00306A30" w:rsidRPr="00306A30" w:rsidRDefault="00306A30" w:rsidP="00306A30">
      <w:pPr>
        <w:rPr>
          <w:b/>
          <w:bCs/>
          <w:color w:val="AE2261"/>
          <w:sz w:val="22"/>
          <w:szCs w:val="22"/>
        </w:rPr>
      </w:pPr>
      <w:r w:rsidRPr="00306A30">
        <w:rPr>
          <w:b/>
          <w:bCs/>
          <w:color w:val="AE2261"/>
          <w:sz w:val="22"/>
          <w:szCs w:val="22"/>
        </w:rPr>
        <w:t>Keep Communication in Writing</w:t>
      </w:r>
    </w:p>
    <w:p w14:paraId="03624FB6" w14:textId="77777777" w:rsidR="00306A30" w:rsidRPr="00306A30" w:rsidRDefault="00306A30" w:rsidP="00306A30">
      <w:pPr>
        <w:rPr>
          <w:sz w:val="22"/>
          <w:szCs w:val="22"/>
        </w:rPr>
      </w:pPr>
      <w:r w:rsidRPr="00306A30">
        <w:rPr>
          <w:sz w:val="22"/>
          <w:szCs w:val="22"/>
        </w:rPr>
        <w:t>Emails create a paper trail and provide evidence if support is not implemented.</w:t>
      </w:r>
    </w:p>
    <w:p w14:paraId="6D98B8F4" w14:textId="77777777" w:rsidR="00306A30" w:rsidRPr="00306A30" w:rsidRDefault="00306A30" w:rsidP="00306A30">
      <w:pPr>
        <w:rPr>
          <w:b/>
          <w:bCs/>
          <w:color w:val="AE2261"/>
          <w:sz w:val="22"/>
          <w:szCs w:val="22"/>
        </w:rPr>
      </w:pPr>
      <w:r w:rsidRPr="00306A30">
        <w:rPr>
          <w:b/>
          <w:bCs/>
          <w:color w:val="AE2261"/>
          <w:sz w:val="22"/>
          <w:szCs w:val="22"/>
        </w:rPr>
        <w:lastRenderedPageBreak/>
        <w:t>Ask Clear Questions</w:t>
      </w:r>
    </w:p>
    <w:p w14:paraId="2CE8B21E" w14:textId="77777777" w:rsidR="00FE7F89" w:rsidRDefault="00306A30" w:rsidP="00FE7F89">
      <w:pPr>
        <w:pStyle w:val="ListParagraph"/>
        <w:numPr>
          <w:ilvl w:val="0"/>
          <w:numId w:val="12"/>
        </w:numPr>
        <w:rPr>
          <w:sz w:val="22"/>
          <w:szCs w:val="22"/>
        </w:rPr>
      </w:pPr>
      <w:r w:rsidRPr="00FE7F89">
        <w:rPr>
          <w:sz w:val="22"/>
          <w:szCs w:val="22"/>
        </w:rPr>
        <w:t>What adjustments are in place?</w:t>
      </w:r>
    </w:p>
    <w:p w14:paraId="2B124824" w14:textId="77777777" w:rsidR="00FE7F89" w:rsidRDefault="00306A30" w:rsidP="00FE7F89">
      <w:pPr>
        <w:pStyle w:val="ListParagraph"/>
        <w:numPr>
          <w:ilvl w:val="0"/>
          <w:numId w:val="12"/>
        </w:numPr>
        <w:rPr>
          <w:sz w:val="22"/>
          <w:szCs w:val="22"/>
        </w:rPr>
      </w:pPr>
      <w:r w:rsidRPr="00FE7F89">
        <w:rPr>
          <w:sz w:val="22"/>
          <w:szCs w:val="22"/>
        </w:rPr>
        <w:t>Has SEN Support been considered?</w:t>
      </w:r>
    </w:p>
    <w:p w14:paraId="63BB66E2" w14:textId="77777777" w:rsidR="00FE7F89" w:rsidRDefault="00306A30" w:rsidP="00FE7F89">
      <w:pPr>
        <w:pStyle w:val="ListParagraph"/>
        <w:numPr>
          <w:ilvl w:val="0"/>
          <w:numId w:val="12"/>
        </w:numPr>
        <w:rPr>
          <w:sz w:val="22"/>
          <w:szCs w:val="22"/>
        </w:rPr>
      </w:pPr>
      <w:r w:rsidRPr="00FE7F89">
        <w:rPr>
          <w:sz w:val="22"/>
          <w:szCs w:val="22"/>
        </w:rPr>
        <w:t>Who is responsible for attendance decisions?</w:t>
      </w:r>
    </w:p>
    <w:p w14:paraId="5A5B98B7" w14:textId="36793A39" w:rsidR="00306A30" w:rsidRDefault="00306A30" w:rsidP="00FE7F89">
      <w:pPr>
        <w:pStyle w:val="ListParagraph"/>
        <w:numPr>
          <w:ilvl w:val="0"/>
          <w:numId w:val="12"/>
        </w:numPr>
        <w:rPr>
          <w:sz w:val="22"/>
          <w:szCs w:val="22"/>
        </w:rPr>
      </w:pPr>
      <w:r w:rsidRPr="00FE7F89">
        <w:rPr>
          <w:sz w:val="22"/>
          <w:szCs w:val="22"/>
        </w:rPr>
        <w:t xml:space="preserve">What </w:t>
      </w:r>
      <w:proofErr w:type="gramStart"/>
      <w:r w:rsidRPr="00FE7F89">
        <w:rPr>
          <w:sz w:val="22"/>
          <w:szCs w:val="22"/>
        </w:rPr>
        <w:t>wellbeing</w:t>
      </w:r>
      <w:proofErr w:type="gramEnd"/>
      <w:r w:rsidRPr="00FE7F89">
        <w:rPr>
          <w:sz w:val="22"/>
          <w:szCs w:val="22"/>
        </w:rPr>
        <w:t xml:space="preserve"> support is available?</w:t>
      </w:r>
    </w:p>
    <w:p w14:paraId="6D4C672D" w14:textId="77777777" w:rsidR="001853F9" w:rsidRDefault="001853F9" w:rsidP="001853F9">
      <w:pPr>
        <w:rPr>
          <w:sz w:val="22"/>
          <w:szCs w:val="22"/>
        </w:rPr>
      </w:pPr>
    </w:p>
    <w:p w14:paraId="648BE68B" w14:textId="77777777" w:rsidR="001853F9" w:rsidRDefault="001853F9" w:rsidP="001853F9">
      <w:pPr>
        <w:rPr>
          <w:sz w:val="22"/>
          <w:szCs w:val="22"/>
        </w:rPr>
      </w:pPr>
    </w:p>
    <w:p w14:paraId="72E1B80F" w14:textId="77777777" w:rsidR="001853F9" w:rsidRPr="001853F9" w:rsidRDefault="001853F9" w:rsidP="001853F9">
      <w:pPr>
        <w:rPr>
          <w:sz w:val="22"/>
          <w:szCs w:val="22"/>
        </w:rPr>
      </w:pPr>
    </w:p>
    <w:p w14:paraId="06FE8D3C" w14:textId="77777777" w:rsidR="00306A30" w:rsidRPr="00306A30" w:rsidRDefault="00306A30" w:rsidP="00306A30">
      <w:pPr>
        <w:rPr>
          <w:b/>
          <w:bCs/>
          <w:color w:val="AE2261"/>
          <w:sz w:val="22"/>
          <w:szCs w:val="22"/>
        </w:rPr>
      </w:pPr>
      <w:r w:rsidRPr="00306A30">
        <w:rPr>
          <w:b/>
          <w:bCs/>
          <w:color w:val="AE2261"/>
          <w:sz w:val="22"/>
          <w:szCs w:val="22"/>
        </w:rPr>
        <w:t>Document Everything</w:t>
      </w:r>
    </w:p>
    <w:p w14:paraId="6E7CE7B9" w14:textId="77777777" w:rsidR="00306A30" w:rsidRPr="00306A30" w:rsidRDefault="00306A30" w:rsidP="00306A30">
      <w:pPr>
        <w:rPr>
          <w:sz w:val="22"/>
          <w:szCs w:val="22"/>
        </w:rPr>
      </w:pPr>
      <w:r w:rsidRPr="00306A30">
        <w:rPr>
          <w:sz w:val="22"/>
          <w:szCs w:val="22"/>
        </w:rPr>
        <w:t>Keep copies of:</w:t>
      </w:r>
    </w:p>
    <w:p w14:paraId="0DEDAAC4" w14:textId="77777777" w:rsidR="00FE7F89" w:rsidRDefault="00306A30" w:rsidP="00FE7F89">
      <w:pPr>
        <w:pStyle w:val="ListParagraph"/>
        <w:numPr>
          <w:ilvl w:val="0"/>
          <w:numId w:val="13"/>
        </w:numPr>
        <w:rPr>
          <w:sz w:val="22"/>
          <w:szCs w:val="22"/>
        </w:rPr>
      </w:pPr>
      <w:r w:rsidRPr="00FE7F89">
        <w:rPr>
          <w:sz w:val="22"/>
          <w:szCs w:val="22"/>
        </w:rPr>
        <w:t>Emails</w:t>
      </w:r>
    </w:p>
    <w:p w14:paraId="3324D909" w14:textId="77777777" w:rsidR="00FE7F89" w:rsidRDefault="00306A30" w:rsidP="00FE7F89">
      <w:pPr>
        <w:pStyle w:val="ListParagraph"/>
        <w:numPr>
          <w:ilvl w:val="0"/>
          <w:numId w:val="13"/>
        </w:numPr>
        <w:rPr>
          <w:sz w:val="22"/>
          <w:szCs w:val="22"/>
        </w:rPr>
      </w:pPr>
      <w:r w:rsidRPr="00FE7F89">
        <w:rPr>
          <w:sz w:val="22"/>
          <w:szCs w:val="22"/>
        </w:rPr>
        <w:t>Meeting notes</w:t>
      </w:r>
    </w:p>
    <w:p w14:paraId="428A9248" w14:textId="77777777" w:rsidR="00FE7F89" w:rsidRDefault="00306A30" w:rsidP="00FE7F89">
      <w:pPr>
        <w:pStyle w:val="ListParagraph"/>
        <w:numPr>
          <w:ilvl w:val="0"/>
          <w:numId w:val="13"/>
        </w:numPr>
        <w:rPr>
          <w:sz w:val="22"/>
          <w:szCs w:val="22"/>
        </w:rPr>
      </w:pPr>
      <w:r w:rsidRPr="00FE7F89">
        <w:rPr>
          <w:sz w:val="22"/>
          <w:szCs w:val="22"/>
        </w:rPr>
        <w:t>Attendance reports</w:t>
      </w:r>
    </w:p>
    <w:p w14:paraId="492B019F" w14:textId="77777777" w:rsidR="00FE7F89" w:rsidRDefault="00306A30" w:rsidP="00FE7F89">
      <w:pPr>
        <w:pStyle w:val="ListParagraph"/>
        <w:numPr>
          <w:ilvl w:val="0"/>
          <w:numId w:val="13"/>
        </w:numPr>
        <w:rPr>
          <w:sz w:val="22"/>
          <w:szCs w:val="22"/>
        </w:rPr>
      </w:pPr>
      <w:r w:rsidRPr="00FE7F89">
        <w:rPr>
          <w:sz w:val="22"/>
          <w:szCs w:val="22"/>
        </w:rPr>
        <w:t>Medical or professional letters</w:t>
      </w:r>
    </w:p>
    <w:p w14:paraId="470B5CFD" w14:textId="74324FC4" w:rsidR="00306A30" w:rsidRPr="00FE7F89" w:rsidRDefault="00306A30" w:rsidP="00FE7F89">
      <w:pPr>
        <w:pStyle w:val="ListParagraph"/>
        <w:numPr>
          <w:ilvl w:val="0"/>
          <w:numId w:val="13"/>
        </w:numPr>
        <w:rPr>
          <w:sz w:val="22"/>
          <w:szCs w:val="22"/>
        </w:rPr>
      </w:pPr>
      <w:r w:rsidRPr="00FE7F89">
        <w:rPr>
          <w:sz w:val="22"/>
          <w:szCs w:val="22"/>
        </w:rPr>
        <w:t>Incident records</w:t>
      </w:r>
    </w:p>
    <w:p w14:paraId="19FB43D5" w14:textId="77777777" w:rsidR="00306A30" w:rsidRPr="00306A30" w:rsidRDefault="00306A30" w:rsidP="00306A30">
      <w:pPr>
        <w:rPr>
          <w:b/>
          <w:bCs/>
          <w:color w:val="AE2261"/>
          <w:sz w:val="22"/>
          <w:szCs w:val="22"/>
        </w:rPr>
      </w:pPr>
      <w:r w:rsidRPr="00306A30">
        <w:rPr>
          <w:b/>
          <w:bCs/>
          <w:color w:val="AE2261"/>
          <w:sz w:val="22"/>
          <w:szCs w:val="22"/>
        </w:rPr>
        <w:t>Request Meetings Early</w:t>
      </w:r>
    </w:p>
    <w:p w14:paraId="576607C3" w14:textId="77777777" w:rsidR="00306A30" w:rsidRPr="00306A30" w:rsidRDefault="00306A30" w:rsidP="00306A30">
      <w:pPr>
        <w:rPr>
          <w:sz w:val="22"/>
          <w:szCs w:val="22"/>
        </w:rPr>
      </w:pPr>
      <w:r w:rsidRPr="00306A30">
        <w:rPr>
          <w:sz w:val="22"/>
          <w:szCs w:val="22"/>
        </w:rPr>
        <w:t>Early discussions prevent escalation and show willingness to collaborate.</w:t>
      </w:r>
    </w:p>
    <w:p w14:paraId="7DA49DB4" w14:textId="77777777" w:rsidR="00FE7F89" w:rsidRPr="00FE7F89" w:rsidRDefault="00FE7F89" w:rsidP="00FE7F89">
      <w:pPr>
        <w:rPr>
          <w:b/>
          <w:bCs/>
          <w:color w:val="AE2261"/>
          <w:sz w:val="22"/>
          <w:szCs w:val="22"/>
        </w:rPr>
      </w:pPr>
      <w:r w:rsidRPr="00FE7F89">
        <w:rPr>
          <w:b/>
          <w:bCs/>
          <w:color w:val="AE2261"/>
          <w:sz w:val="22"/>
          <w:szCs w:val="22"/>
        </w:rPr>
        <w:t>When Attendance Breaks Down</w:t>
      </w:r>
    </w:p>
    <w:p w14:paraId="2F42F39C" w14:textId="77777777" w:rsidR="00FE7F89" w:rsidRPr="00FE7F89" w:rsidRDefault="00FE7F89" w:rsidP="00FE7F89">
      <w:pPr>
        <w:rPr>
          <w:sz w:val="22"/>
          <w:szCs w:val="22"/>
        </w:rPr>
      </w:pPr>
      <w:r w:rsidRPr="00FE7F89">
        <w:rPr>
          <w:sz w:val="22"/>
          <w:szCs w:val="22"/>
        </w:rPr>
        <w:t>If your child cannot attend despite support attempts:</w:t>
      </w:r>
    </w:p>
    <w:p w14:paraId="674BB764" w14:textId="77777777" w:rsidR="00FE7F89" w:rsidRDefault="00FE7F89" w:rsidP="00FE7F89">
      <w:pPr>
        <w:pStyle w:val="ListParagraph"/>
        <w:numPr>
          <w:ilvl w:val="0"/>
          <w:numId w:val="14"/>
        </w:numPr>
        <w:rPr>
          <w:sz w:val="22"/>
          <w:szCs w:val="22"/>
        </w:rPr>
      </w:pPr>
      <w:r w:rsidRPr="00FE7F89">
        <w:rPr>
          <w:sz w:val="22"/>
          <w:szCs w:val="22"/>
        </w:rPr>
        <w:t>Ask what alternative education options exist</w:t>
      </w:r>
    </w:p>
    <w:p w14:paraId="65C9497E" w14:textId="77777777" w:rsidR="00FE7F89" w:rsidRDefault="00FE7F89" w:rsidP="00FE7F89">
      <w:pPr>
        <w:pStyle w:val="ListParagraph"/>
        <w:numPr>
          <w:ilvl w:val="0"/>
          <w:numId w:val="14"/>
        </w:numPr>
        <w:rPr>
          <w:sz w:val="22"/>
          <w:szCs w:val="22"/>
        </w:rPr>
      </w:pPr>
      <w:r w:rsidRPr="00FE7F89">
        <w:rPr>
          <w:sz w:val="22"/>
          <w:szCs w:val="22"/>
        </w:rPr>
        <w:t>Request a wellbeing or safeguarding review</w:t>
      </w:r>
    </w:p>
    <w:p w14:paraId="429C6247" w14:textId="77777777" w:rsidR="00FE7F89" w:rsidRDefault="00FE7F89" w:rsidP="00FE7F89">
      <w:pPr>
        <w:pStyle w:val="ListParagraph"/>
        <w:numPr>
          <w:ilvl w:val="0"/>
          <w:numId w:val="14"/>
        </w:numPr>
        <w:rPr>
          <w:sz w:val="22"/>
          <w:szCs w:val="22"/>
        </w:rPr>
      </w:pPr>
      <w:r w:rsidRPr="00FE7F89">
        <w:rPr>
          <w:sz w:val="22"/>
          <w:szCs w:val="22"/>
        </w:rPr>
        <w:t>Clarify absence coding</w:t>
      </w:r>
    </w:p>
    <w:p w14:paraId="60B8A332" w14:textId="14BD70C8" w:rsidR="00FE7F89" w:rsidRPr="00FE7F89" w:rsidRDefault="00FE7F89" w:rsidP="00FE7F89">
      <w:pPr>
        <w:pStyle w:val="ListParagraph"/>
        <w:numPr>
          <w:ilvl w:val="0"/>
          <w:numId w:val="14"/>
        </w:numPr>
        <w:rPr>
          <w:sz w:val="22"/>
          <w:szCs w:val="22"/>
        </w:rPr>
      </w:pPr>
      <w:r w:rsidRPr="00FE7F89">
        <w:rPr>
          <w:sz w:val="22"/>
          <w:szCs w:val="22"/>
        </w:rPr>
        <w:t>Seek professional advice if needed</w:t>
      </w:r>
    </w:p>
    <w:p w14:paraId="26598DCE" w14:textId="77777777" w:rsidR="00FE7F89" w:rsidRPr="00FE7F89" w:rsidRDefault="00FE7F89" w:rsidP="00FE7F89">
      <w:pPr>
        <w:rPr>
          <w:sz w:val="22"/>
          <w:szCs w:val="22"/>
        </w:rPr>
      </w:pPr>
      <w:r w:rsidRPr="00FE7F89">
        <w:rPr>
          <w:sz w:val="22"/>
          <w:szCs w:val="22"/>
        </w:rPr>
        <w:t>Extended absence should not result in children being left without education</w:t>
      </w:r>
    </w:p>
    <w:p w14:paraId="7A6EA7CA" w14:textId="77777777" w:rsidR="00FE7F89" w:rsidRPr="00FE7F89" w:rsidRDefault="00FE7F89" w:rsidP="00FE7F89">
      <w:pPr>
        <w:rPr>
          <w:b/>
          <w:bCs/>
          <w:sz w:val="22"/>
          <w:szCs w:val="22"/>
        </w:rPr>
      </w:pPr>
      <w:r w:rsidRPr="00FE7F89">
        <w:rPr>
          <w:b/>
          <w:bCs/>
          <w:sz w:val="22"/>
          <w:szCs w:val="22"/>
        </w:rPr>
        <w:t>Parent Checklist</w:t>
      </w:r>
    </w:p>
    <w:p w14:paraId="6C6BF5B6" w14:textId="77777777" w:rsidR="00FE7F89" w:rsidRDefault="00FE7F89" w:rsidP="00FE7F89">
      <w:pPr>
        <w:pStyle w:val="ListParagraph"/>
        <w:numPr>
          <w:ilvl w:val="0"/>
          <w:numId w:val="15"/>
        </w:numPr>
        <w:rPr>
          <w:sz w:val="22"/>
          <w:szCs w:val="22"/>
        </w:rPr>
      </w:pPr>
      <w:r w:rsidRPr="00FE7F89">
        <w:rPr>
          <w:sz w:val="22"/>
          <w:szCs w:val="22"/>
        </w:rPr>
        <w:t>Has SEN Support been discussed?</w:t>
      </w:r>
    </w:p>
    <w:p w14:paraId="29A11ACA" w14:textId="77777777" w:rsidR="00FE7F89" w:rsidRDefault="00FE7F89" w:rsidP="00FE7F89">
      <w:pPr>
        <w:pStyle w:val="ListParagraph"/>
        <w:numPr>
          <w:ilvl w:val="0"/>
          <w:numId w:val="15"/>
        </w:numPr>
        <w:rPr>
          <w:sz w:val="22"/>
          <w:szCs w:val="22"/>
        </w:rPr>
      </w:pPr>
      <w:r w:rsidRPr="00FE7F89">
        <w:rPr>
          <w:sz w:val="22"/>
          <w:szCs w:val="22"/>
        </w:rPr>
        <w:t>Have reasonable adjustments been considered?</w:t>
      </w:r>
    </w:p>
    <w:p w14:paraId="2921285F" w14:textId="77777777" w:rsidR="00FE7F89" w:rsidRDefault="00FE7F89" w:rsidP="00FE7F89">
      <w:pPr>
        <w:pStyle w:val="ListParagraph"/>
        <w:numPr>
          <w:ilvl w:val="0"/>
          <w:numId w:val="15"/>
        </w:numPr>
        <w:rPr>
          <w:sz w:val="22"/>
          <w:szCs w:val="22"/>
        </w:rPr>
      </w:pPr>
      <w:r w:rsidRPr="00FE7F89">
        <w:rPr>
          <w:sz w:val="22"/>
          <w:szCs w:val="22"/>
        </w:rPr>
        <w:t>Has the graduated approach been followed?</w:t>
      </w:r>
    </w:p>
    <w:p w14:paraId="57B55396" w14:textId="77777777" w:rsidR="00FE7F89" w:rsidRDefault="00FE7F89" w:rsidP="00FE7F89">
      <w:pPr>
        <w:pStyle w:val="ListParagraph"/>
        <w:numPr>
          <w:ilvl w:val="0"/>
          <w:numId w:val="15"/>
        </w:numPr>
        <w:rPr>
          <w:sz w:val="22"/>
          <w:szCs w:val="22"/>
        </w:rPr>
      </w:pPr>
      <w:r w:rsidRPr="00FE7F89">
        <w:rPr>
          <w:sz w:val="22"/>
          <w:szCs w:val="22"/>
        </w:rPr>
        <w:t>Is absence being coded accurately?</w:t>
      </w:r>
    </w:p>
    <w:p w14:paraId="26C8FEE2" w14:textId="77777777" w:rsidR="00FE7F89" w:rsidRDefault="00FE7F89" w:rsidP="00FE7F89">
      <w:pPr>
        <w:pStyle w:val="ListParagraph"/>
        <w:numPr>
          <w:ilvl w:val="0"/>
          <w:numId w:val="15"/>
        </w:numPr>
        <w:rPr>
          <w:sz w:val="22"/>
          <w:szCs w:val="22"/>
        </w:rPr>
      </w:pPr>
      <w:r w:rsidRPr="00FE7F89">
        <w:rPr>
          <w:sz w:val="22"/>
          <w:szCs w:val="22"/>
        </w:rPr>
        <w:t>Has safeguarding been reviewed</w:t>
      </w:r>
      <w:r>
        <w:rPr>
          <w:sz w:val="22"/>
          <w:szCs w:val="22"/>
        </w:rPr>
        <w:t>?</w:t>
      </w:r>
    </w:p>
    <w:p w14:paraId="3AEAC5F5" w14:textId="77777777" w:rsidR="00FE7F89" w:rsidRDefault="00FE7F89" w:rsidP="00FE7F89">
      <w:pPr>
        <w:pStyle w:val="ListParagraph"/>
        <w:numPr>
          <w:ilvl w:val="0"/>
          <w:numId w:val="15"/>
        </w:numPr>
        <w:rPr>
          <w:sz w:val="22"/>
          <w:szCs w:val="22"/>
        </w:rPr>
      </w:pPr>
      <w:r w:rsidRPr="00FE7F89">
        <w:rPr>
          <w:sz w:val="22"/>
          <w:szCs w:val="22"/>
        </w:rPr>
        <w:t>Is communication in writing?</w:t>
      </w:r>
    </w:p>
    <w:p w14:paraId="489EEE90" w14:textId="0324EED3" w:rsidR="00FE7F89" w:rsidRPr="00FE7F89" w:rsidRDefault="00FE7F89" w:rsidP="00FE7F89">
      <w:pPr>
        <w:pStyle w:val="ListParagraph"/>
        <w:numPr>
          <w:ilvl w:val="0"/>
          <w:numId w:val="15"/>
        </w:numPr>
        <w:rPr>
          <w:sz w:val="22"/>
          <w:szCs w:val="22"/>
        </w:rPr>
      </w:pPr>
      <w:r w:rsidRPr="00FE7F89">
        <w:rPr>
          <w:sz w:val="22"/>
          <w:szCs w:val="22"/>
        </w:rPr>
        <w:t>Has Section 19 been considered if absence is prolonged?</w:t>
      </w:r>
    </w:p>
    <w:p w14:paraId="0C7EC1B4" w14:textId="77777777" w:rsidR="00FE7F89" w:rsidRPr="001853F9" w:rsidRDefault="00FE7F89" w:rsidP="00FE7F89">
      <w:pPr>
        <w:pStyle w:val="NormalWeb"/>
        <w:rPr>
          <w:rFonts w:asciiTheme="minorHAnsi" w:hAnsiTheme="minorHAnsi"/>
          <w:sz w:val="22"/>
          <w:szCs w:val="22"/>
        </w:rPr>
      </w:pPr>
      <w:r w:rsidRPr="001853F9">
        <w:rPr>
          <w:rFonts w:asciiTheme="minorHAnsi" w:hAnsiTheme="minorHAnsi"/>
          <w:sz w:val="22"/>
          <w:szCs w:val="22"/>
        </w:rPr>
        <w:lastRenderedPageBreak/>
        <w:t xml:space="preserve">You are not alone, and attendance difficulties linked to </w:t>
      </w:r>
      <w:proofErr w:type="gramStart"/>
      <w:r w:rsidRPr="001853F9">
        <w:rPr>
          <w:rFonts w:asciiTheme="minorHAnsi" w:hAnsiTheme="minorHAnsi"/>
          <w:sz w:val="22"/>
          <w:szCs w:val="22"/>
        </w:rPr>
        <w:t>SEND</w:t>
      </w:r>
      <w:proofErr w:type="gramEnd"/>
      <w:r w:rsidRPr="001853F9">
        <w:rPr>
          <w:rFonts w:asciiTheme="minorHAnsi" w:hAnsiTheme="minorHAnsi"/>
          <w:sz w:val="22"/>
          <w:szCs w:val="22"/>
        </w:rPr>
        <w:t xml:space="preserve"> or emotional wellbeing are valid and </w:t>
      </w:r>
      <w:proofErr w:type="spellStart"/>
      <w:r w:rsidRPr="001853F9">
        <w:rPr>
          <w:rFonts w:asciiTheme="minorHAnsi" w:hAnsiTheme="minorHAnsi"/>
          <w:sz w:val="22"/>
          <w:szCs w:val="22"/>
        </w:rPr>
        <w:t>recognised</w:t>
      </w:r>
      <w:proofErr w:type="spellEnd"/>
      <w:r w:rsidRPr="001853F9">
        <w:rPr>
          <w:rFonts w:asciiTheme="minorHAnsi" w:hAnsiTheme="minorHAnsi"/>
          <w:sz w:val="22"/>
          <w:szCs w:val="22"/>
        </w:rPr>
        <w:t>. Seeking support early can prevent escalation and help ensure your child receives the understanding and adjustments they need.</w:t>
      </w:r>
    </w:p>
    <w:p w14:paraId="75D9C225" w14:textId="77777777" w:rsidR="00FE7F89" w:rsidRDefault="00FE7F89" w:rsidP="00FE7F89">
      <w:pPr>
        <w:pStyle w:val="NormalWeb"/>
        <w:rPr>
          <w:rFonts w:asciiTheme="minorHAnsi" w:hAnsiTheme="minorHAnsi"/>
          <w:sz w:val="22"/>
          <w:szCs w:val="22"/>
        </w:rPr>
      </w:pPr>
      <w:r w:rsidRPr="001853F9">
        <w:rPr>
          <w:rFonts w:asciiTheme="minorHAnsi" w:hAnsiTheme="minorHAnsi"/>
          <w:sz w:val="22"/>
          <w:szCs w:val="22"/>
        </w:rPr>
        <w:t>Support, collaboration, and clear communication are often the most effective tools for positive change.</w:t>
      </w:r>
    </w:p>
    <w:p w14:paraId="0F2C0538" w14:textId="76D7D10A" w:rsidR="00315BB9" w:rsidRDefault="00E56924" w:rsidP="00FE7F89">
      <w:pPr>
        <w:pStyle w:val="NormalWeb"/>
        <w:rPr>
          <w:rFonts w:asciiTheme="minorHAnsi" w:hAnsiTheme="minorHAnsi"/>
          <w:sz w:val="22"/>
          <w:szCs w:val="22"/>
        </w:rPr>
      </w:pPr>
      <w:r>
        <w:rPr>
          <w:rFonts w:asciiTheme="minorHAnsi" w:hAnsiTheme="minorHAnsi"/>
          <w:noProof/>
          <w:sz w:val="22"/>
          <w:szCs w:val="22"/>
          <w14:ligatures w14:val="standardContextual"/>
        </w:rPr>
        <w:lastRenderedPageBreak/>
        <w:drawing>
          <wp:inline distT="0" distB="0" distL="0" distR="0" wp14:anchorId="507B53CF" wp14:editId="7115965D">
            <wp:extent cx="5818505" cy="8229600"/>
            <wp:effectExtent l="0" t="0" r="0" b="0"/>
            <wp:docPr id="984451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51118" name="Picture 9844511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8505" cy="8229600"/>
                    </a:xfrm>
                    <a:prstGeom prst="rect">
                      <a:avLst/>
                    </a:prstGeom>
                  </pic:spPr>
                </pic:pic>
              </a:graphicData>
            </a:graphic>
          </wp:inline>
        </w:drawing>
      </w:r>
    </w:p>
    <w:p w14:paraId="37F94C88" w14:textId="77777777" w:rsidR="00315BB9" w:rsidRPr="001853F9" w:rsidRDefault="00315BB9" w:rsidP="00FE7F89">
      <w:pPr>
        <w:pStyle w:val="NormalWeb"/>
        <w:rPr>
          <w:rFonts w:asciiTheme="minorHAnsi" w:hAnsiTheme="minorHAnsi"/>
          <w:sz w:val="22"/>
          <w:szCs w:val="22"/>
        </w:rPr>
      </w:pPr>
    </w:p>
    <w:p w14:paraId="3A9069EE" w14:textId="77777777" w:rsidR="00306A30" w:rsidRPr="00306A30" w:rsidRDefault="00306A30" w:rsidP="00306A30">
      <w:pPr>
        <w:rPr>
          <w:sz w:val="22"/>
          <w:szCs w:val="22"/>
        </w:rPr>
      </w:pPr>
    </w:p>
    <w:p w14:paraId="1B2DB253" w14:textId="64A44968" w:rsidR="00306A30" w:rsidRPr="00306A30" w:rsidRDefault="00306A30" w:rsidP="00306A30">
      <w:pPr>
        <w:rPr>
          <w:b/>
          <w:bCs/>
          <w:i/>
          <w:iCs/>
          <w:color w:val="AE2261"/>
        </w:rPr>
      </w:pPr>
    </w:p>
    <w:sectPr w:rsidR="00306A30" w:rsidRPr="00306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D09"/>
    <w:multiLevelType w:val="hybridMultilevel"/>
    <w:tmpl w:val="8670FE80"/>
    <w:lvl w:ilvl="0" w:tplc="68A88FEE">
      <w:start w:val="1"/>
      <w:numFmt w:val="bullet"/>
      <w:lvlText w:val=""/>
      <w:lvlJc w:val="left"/>
      <w:pPr>
        <w:ind w:left="1440" w:hanging="360"/>
      </w:pPr>
      <w:rPr>
        <w:rFonts w:ascii="Wingdings" w:hAnsi="Wingdings" w:hint="default"/>
        <w:color w:val="AE226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1D3"/>
    <w:multiLevelType w:val="multilevel"/>
    <w:tmpl w:val="AD1E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33F5C"/>
    <w:multiLevelType w:val="multilevel"/>
    <w:tmpl w:val="F794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61834"/>
    <w:multiLevelType w:val="multilevel"/>
    <w:tmpl w:val="9016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E07C2"/>
    <w:multiLevelType w:val="hybridMultilevel"/>
    <w:tmpl w:val="8ECCB16E"/>
    <w:lvl w:ilvl="0" w:tplc="68A88FEE">
      <w:start w:val="1"/>
      <w:numFmt w:val="bullet"/>
      <w:lvlText w:val=""/>
      <w:lvlJc w:val="left"/>
      <w:pPr>
        <w:ind w:left="1440" w:hanging="360"/>
      </w:pPr>
      <w:rPr>
        <w:rFonts w:ascii="Wingdings" w:hAnsi="Wingdings" w:hint="default"/>
        <w:color w:val="AE226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443791"/>
    <w:multiLevelType w:val="hybridMultilevel"/>
    <w:tmpl w:val="04B03772"/>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73FBB"/>
    <w:multiLevelType w:val="multilevel"/>
    <w:tmpl w:val="40C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A109F"/>
    <w:multiLevelType w:val="hybridMultilevel"/>
    <w:tmpl w:val="AE8A7252"/>
    <w:lvl w:ilvl="0" w:tplc="0BB8E12A">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714C8"/>
    <w:multiLevelType w:val="multilevel"/>
    <w:tmpl w:val="E11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C304F"/>
    <w:multiLevelType w:val="hybridMultilevel"/>
    <w:tmpl w:val="119834E2"/>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B0620"/>
    <w:multiLevelType w:val="multilevel"/>
    <w:tmpl w:val="2EA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A75D3"/>
    <w:multiLevelType w:val="multilevel"/>
    <w:tmpl w:val="A2B6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A1D40"/>
    <w:multiLevelType w:val="hybridMultilevel"/>
    <w:tmpl w:val="B92C6F58"/>
    <w:lvl w:ilvl="0" w:tplc="68A88FEE">
      <w:start w:val="1"/>
      <w:numFmt w:val="bullet"/>
      <w:lvlText w:val=""/>
      <w:lvlJc w:val="left"/>
      <w:pPr>
        <w:ind w:left="1440" w:hanging="360"/>
      </w:pPr>
      <w:rPr>
        <w:rFonts w:ascii="Wingdings" w:hAnsi="Wingdings" w:hint="default"/>
        <w:color w:val="AE226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880278"/>
    <w:multiLevelType w:val="hybridMultilevel"/>
    <w:tmpl w:val="A81E25F6"/>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362EB"/>
    <w:multiLevelType w:val="multilevel"/>
    <w:tmpl w:val="144C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17B4D"/>
    <w:multiLevelType w:val="multilevel"/>
    <w:tmpl w:val="1C3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74A87"/>
    <w:multiLevelType w:val="hybridMultilevel"/>
    <w:tmpl w:val="DC10D5B2"/>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63513C"/>
    <w:multiLevelType w:val="hybridMultilevel"/>
    <w:tmpl w:val="3EB2BF2E"/>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9581A"/>
    <w:multiLevelType w:val="hybridMultilevel"/>
    <w:tmpl w:val="E9305576"/>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5462D"/>
    <w:multiLevelType w:val="multilevel"/>
    <w:tmpl w:val="DA8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662EC"/>
    <w:multiLevelType w:val="hybridMultilevel"/>
    <w:tmpl w:val="6A28FD24"/>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51977"/>
    <w:multiLevelType w:val="hybridMultilevel"/>
    <w:tmpl w:val="3482DC68"/>
    <w:lvl w:ilvl="0" w:tplc="68A88FEE">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35838"/>
    <w:multiLevelType w:val="multilevel"/>
    <w:tmpl w:val="43D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B1AAB"/>
    <w:multiLevelType w:val="hybridMultilevel"/>
    <w:tmpl w:val="6E58A64C"/>
    <w:lvl w:ilvl="0" w:tplc="BDEA53B8">
      <w:start w:val="1"/>
      <w:numFmt w:val="bullet"/>
      <w:lvlText w:val=""/>
      <w:lvlJc w:val="left"/>
      <w:pPr>
        <w:ind w:left="720" w:hanging="360"/>
      </w:pPr>
      <w:rPr>
        <w:rFonts w:ascii="Wingdings" w:hAnsi="Wingdings" w:hint="default"/>
        <w:color w:val="AE226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43974">
    <w:abstractNumId w:val="11"/>
  </w:num>
  <w:num w:numId="2" w16cid:durableId="148331274">
    <w:abstractNumId w:val="19"/>
  </w:num>
  <w:num w:numId="3" w16cid:durableId="430247219">
    <w:abstractNumId w:val="0"/>
  </w:num>
  <w:num w:numId="4" w16cid:durableId="1702390730">
    <w:abstractNumId w:val="21"/>
  </w:num>
  <w:num w:numId="5" w16cid:durableId="1418134677">
    <w:abstractNumId w:val="18"/>
  </w:num>
  <w:num w:numId="6" w16cid:durableId="1697805232">
    <w:abstractNumId w:val="8"/>
  </w:num>
  <w:num w:numId="7" w16cid:durableId="63651085">
    <w:abstractNumId w:val="12"/>
  </w:num>
  <w:num w:numId="8" w16cid:durableId="1214200240">
    <w:abstractNumId w:val="22"/>
  </w:num>
  <w:num w:numId="9" w16cid:durableId="1345934829">
    <w:abstractNumId w:val="15"/>
  </w:num>
  <w:num w:numId="10" w16cid:durableId="1563634152">
    <w:abstractNumId w:val="14"/>
  </w:num>
  <w:num w:numId="11" w16cid:durableId="753748489">
    <w:abstractNumId w:val="3"/>
  </w:num>
  <w:num w:numId="12" w16cid:durableId="1518273206">
    <w:abstractNumId w:val="4"/>
  </w:num>
  <w:num w:numId="13" w16cid:durableId="609052214">
    <w:abstractNumId w:val="23"/>
  </w:num>
  <w:num w:numId="14" w16cid:durableId="113257069">
    <w:abstractNumId w:val="13"/>
  </w:num>
  <w:num w:numId="15" w16cid:durableId="1681928489">
    <w:abstractNumId w:val="7"/>
  </w:num>
  <w:num w:numId="16" w16cid:durableId="1429353362">
    <w:abstractNumId w:val="2"/>
  </w:num>
  <w:num w:numId="17" w16cid:durableId="81608969">
    <w:abstractNumId w:val="10"/>
  </w:num>
  <w:num w:numId="18" w16cid:durableId="2109962011">
    <w:abstractNumId w:val="6"/>
  </w:num>
  <w:num w:numId="19" w16cid:durableId="1063722359">
    <w:abstractNumId w:val="5"/>
  </w:num>
  <w:num w:numId="20" w16cid:durableId="1993636252">
    <w:abstractNumId w:val="9"/>
  </w:num>
  <w:num w:numId="21" w16cid:durableId="398597744">
    <w:abstractNumId w:val="16"/>
  </w:num>
  <w:num w:numId="22" w16cid:durableId="287125181">
    <w:abstractNumId w:val="1"/>
  </w:num>
  <w:num w:numId="23" w16cid:durableId="2076123741">
    <w:abstractNumId w:val="20"/>
  </w:num>
  <w:num w:numId="24" w16cid:durableId="15361896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30"/>
    <w:rsid w:val="0018308A"/>
    <w:rsid w:val="001853F9"/>
    <w:rsid w:val="00306A30"/>
    <w:rsid w:val="00315BB9"/>
    <w:rsid w:val="0076468A"/>
    <w:rsid w:val="0085576F"/>
    <w:rsid w:val="00E56924"/>
    <w:rsid w:val="00EF2099"/>
    <w:rsid w:val="00FE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821F"/>
  <w15:chartTrackingRefBased/>
  <w15:docId w15:val="{F0CC3C8E-D8E3-4ACF-92A1-2E327D45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A30"/>
    <w:rPr>
      <w:rFonts w:eastAsiaTheme="majorEastAsia" w:cstheme="majorBidi"/>
      <w:color w:val="272727" w:themeColor="text1" w:themeTint="D8"/>
    </w:rPr>
  </w:style>
  <w:style w:type="paragraph" w:styleId="Title">
    <w:name w:val="Title"/>
    <w:basedOn w:val="Normal"/>
    <w:next w:val="Normal"/>
    <w:link w:val="TitleChar"/>
    <w:uiPriority w:val="10"/>
    <w:qFormat/>
    <w:rsid w:val="0030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A30"/>
    <w:pPr>
      <w:spacing w:before="160"/>
      <w:jc w:val="center"/>
    </w:pPr>
    <w:rPr>
      <w:i/>
      <w:iCs/>
      <w:color w:val="404040" w:themeColor="text1" w:themeTint="BF"/>
    </w:rPr>
  </w:style>
  <w:style w:type="character" w:customStyle="1" w:styleId="QuoteChar">
    <w:name w:val="Quote Char"/>
    <w:basedOn w:val="DefaultParagraphFont"/>
    <w:link w:val="Quote"/>
    <w:uiPriority w:val="29"/>
    <w:rsid w:val="00306A30"/>
    <w:rPr>
      <w:i/>
      <w:iCs/>
      <w:color w:val="404040" w:themeColor="text1" w:themeTint="BF"/>
    </w:rPr>
  </w:style>
  <w:style w:type="paragraph" w:styleId="ListParagraph">
    <w:name w:val="List Paragraph"/>
    <w:basedOn w:val="Normal"/>
    <w:uiPriority w:val="34"/>
    <w:qFormat/>
    <w:rsid w:val="00306A30"/>
    <w:pPr>
      <w:ind w:left="720"/>
      <w:contextualSpacing/>
    </w:pPr>
  </w:style>
  <w:style w:type="character" w:styleId="IntenseEmphasis">
    <w:name w:val="Intense Emphasis"/>
    <w:basedOn w:val="DefaultParagraphFont"/>
    <w:uiPriority w:val="21"/>
    <w:qFormat/>
    <w:rsid w:val="00306A30"/>
    <w:rPr>
      <w:i/>
      <w:iCs/>
      <w:color w:val="0F4761" w:themeColor="accent1" w:themeShade="BF"/>
    </w:rPr>
  </w:style>
  <w:style w:type="paragraph" w:styleId="IntenseQuote">
    <w:name w:val="Intense Quote"/>
    <w:basedOn w:val="Normal"/>
    <w:next w:val="Normal"/>
    <w:link w:val="IntenseQuoteChar"/>
    <w:uiPriority w:val="30"/>
    <w:qFormat/>
    <w:rsid w:val="0030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A30"/>
    <w:rPr>
      <w:i/>
      <w:iCs/>
      <w:color w:val="0F4761" w:themeColor="accent1" w:themeShade="BF"/>
    </w:rPr>
  </w:style>
  <w:style w:type="character" w:styleId="IntenseReference">
    <w:name w:val="Intense Reference"/>
    <w:basedOn w:val="DefaultParagraphFont"/>
    <w:uiPriority w:val="32"/>
    <w:qFormat/>
    <w:rsid w:val="00306A30"/>
    <w:rPr>
      <w:b/>
      <w:bCs/>
      <w:smallCaps/>
      <w:color w:val="0F4761" w:themeColor="accent1" w:themeShade="BF"/>
      <w:spacing w:val="5"/>
    </w:rPr>
  </w:style>
  <w:style w:type="paragraph" w:styleId="NormalWeb">
    <w:name w:val="Normal (Web)"/>
    <w:basedOn w:val="Normal"/>
    <w:uiPriority w:val="99"/>
    <w:semiHidden/>
    <w:unhideWhenUsed/>
    <w:rsid w:val="00FE7F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853F9"/>
    <w:rPr>
      <w:color w:val="467886" w:themeColor="hyperlink"/>
      <w:u w:val="single"/>
    </w:rPr>
  </w:style>
  <w:style w:type="character" w:styleId="UnresolvedMention">
    <w:name w:val="Unresolved Mention"/>
    <w:basedOn w:val="DefaultParagraphFont"/>
    <w:uiPriority w:val="99"/>
    <w:semiHidden/>
    <w:unhideWhenUsed/>
    <w:rsid w:val="00185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96/56/conten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7</cp:revision>
  <dcterms:created xsi:type="dcterms:W3CDTF">2026-02-15T17:02:00Z</dcterms:created>
  <dcterms:modified xsi:type="dcterms:W3CDTF">2026-02-15T17:38:00Z</dcterms:modified>
</cp:coreProperties>
</file>